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13. ІНФОРМАЦІЯ ПРО ОТРИМАННЯ ДОЗВОЛУ ДЛЯ ОЗНАЙОМЛЕННЯ З НЕЮ ГРОМАДСЬКОСТІ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Повне та скорочене найменування 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субʼєкта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господарювання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 ТОВАРИСТВО З ОБМЕЖЕНОЮ ВІДПОВІДАЛЬНІСТЮ «КОНОНІВСЬКИЙ ЕЛЕВАТОР».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Ідентифікаційний код юридичної особи в Єдиному державному реєстрі підприємств та організацій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– 32284263.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Місцезнаходження 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субʼєкта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господарюванняя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, контактний номер телефону, адреса електронної пошти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– 36014, Полтавська обл., м. Полтава, площа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Павленківська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24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т.</w:t>
      </w:r>
      <w:r>
        <w:rPr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lang w:val="uk-UA" w:eastAsia="ru-RU"/>
        </w:rPr>
        <w:t xml:space="preserve">+38 0532 50 34 00</w:t>
      </w:r>
      <w:r>
        <w:rPr>
          <w:rFonts w:ascii="Times New Roman" w:hAnsi="Times New Roman" w:cs="Times New Roman" w:eastAsia="Times New Roman"/>
          <w:sz w:val="26"/>
          <w:szCs w:val="26"/>
          <w:lang w:val="uk-UA" w:eastAsia="ru-RU"/>
        </w:rPr>
        <w:t xml:space="preserve"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e-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mail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: di.kovalenko@kernel.ua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Місцезнаходження об'єкта / промислового майданчика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– 17584, Чернігівська обл., Прилуцький район, смт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Линовиця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вул.Незалежності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18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Відомості про наявність висновку з оцінки впливу на довкілля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Згідно вимог Закону України «Про оцінку впливу на довкілля» діяльність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обʼєкт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не підлягає оцінці впливу на довкілля.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Перелік та загальний опис виробництв, технологічних процесів, технологічного устаткування 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обʼєкта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. 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Линовицька</w:t>
      </w:r>
      <w:r>
        <w:rPr>
          <w:sz w:val="26"/>
          <w:szCs w:val="26"/>
        </w:rPr>
        <w:t xml:space="preserve"> дільниця ТОВ «</w:t>
      </w:r>
      <w:r>
        <w:rPr>
          <w:sz w:val="26"/>
          <w:szCs w:val="26"/>
        </w:rPr>
        <w:t xml:space="preserve">Кононівський</w:t>
      </w:r>
      <w:r>
        <w:rPr>
          <w:sz w:val="26"/>
          <w:szCs w:val="26"/>
        </w:rPr>
        <w:t xml:space="preserve"> елеватор» призначена для приймання, первинної обробки</w:t>
      </w:r>
      <w:r>
        <w:rPr>
          <w:sz w:val="26"/>
          <w:szCs w:val="26"/>
        </w:rPr>
        <w:t xml:space="preserve"> і</w:t>
      </w:r>
      <w:r>
        <w:rPr>
          <w:sz w:val="26"/>
          <w:szCs w:val="26"/>
        </w:rPr>
        <w:t xml:space="preserve"> зберігання</w:t>
      </w:r>
      <w:r>
        <w:rPr>
          <w:sz w:val="26"/>
          <w:szCs w:val="26"/>
        </w:rPr>
        <w:t xml:space="preserve"> і відвантаження</w:t>
      </w:r>
      <w:r>
        <w:rPr>
          <w:sz w:val="26"/>
          <w:szCs w:val="26"/>
        </w:rPr>
        <w:t xml:space="preserve"> зернових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культур. Річний обсяг </w:t>
      </w:r>
      <w:r>
        <w:rPr>
          <w:color w:val="auto"/>
          <w:sz w:val="26"/>
          <w:szCs w:val="26"/>
        </w:rPr>
        <w:t xml:space="preserve">зернових культур 110000 </w:t>
      </w:r>
      <w:r>
        <w:rPr>
          <w:color w:val="auto"/>
          <w:sz w:val="26"/>
          <w:szCs w:val="26"/>
        </w:rPr>
        <w:t xml:space="preserve">тонн</w:t>
      </w:r>
      <w:r>
        <w:rPr>
          <w:color w:val="auto"/>
          <w:sz w:val="26"/>
          <w:szCs w:val="26"/>
        </w:rPr>
        <w:t xml:space="preserve">, одночасне зберігання зернових становить 46100 </w:t>
      </w:r>
      <w:r>
        <w:rPr>
          <w:color w:val="auto"/>
          <w:sz w:val="26"/>
          <w:szCs w:val="26"/>
        </w:rPr>
        <w:t xml:space="preserve">тонн</w:t>
      </w:r>
      <w:r>
        <w:rPr>
          <w:color w:val="auto"/>
          <w:sz w:val="26"/>
          <w:szCs w:val="26"/>
        </w:rPr>
        <w:t xml:space="preserve">. </w:t>
      </w:r>
      <w:r/>
    </w:p>
    <w:p>
      <w:pPr>
        <w:ind w:right="-2"/>
        <w:jc w:val="center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Таблиця 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.1. Перелік видів продукції, що випускається на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обʼєкті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/промисловому майданчику, у тому числі продукції переділів, що використовується у власному виробництві.</w:t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09"/>
      </w:tblGrid>
      <w:tr>
        <w:trPr/>
        <w:tc>
          <w:tcPr>
            <w:tcW w:w="1838" w:type="dxa"/>
            <w:textDirection w:val="lrTb"/>
            <w:noWrap w:val="false"/>
          </w:tcPr>
          <w:p>
            <w:pPr>
              <w:ind w:right="-2"/>
              <w:jc w:val="center"/>
              <w:tabs>
                <w:tab w:val="left" w:pos="142" w:leader="none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Порядковий номер</w:t>
            </w:r>
            <w:r/>
          </w:p>
        </w:tc>
        <w:tc>
          <w:tcPr>
            <w:tcW w:w="4580" w:type="dxa"/>
            <w:textDirection w:val="lrTb"/>
            <w:noWrap w:val="false"/>
          </w:tcPr>
          <w:p>
            <w:pPr>
              <w:ind w:right="-2"/>
              <w:jc w:val="center"/>
              <w:tabs>
                <w:tab w:val="left" w:pos="142" w:leader="none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Вид продукції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ind w:right="-2"/>
              <w:jc w:val="center"/>
              <w:tabs>
                <w:tab w:val="left" w:pos="142" w:leader="none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Річний випуск</w:t>
            </w:r>
            <w:r/>
          </w:p>
        </w:tc>
      </w:tr>
      <w:tr>
        <w:trPr/>
        <w:tc>
          <w:tcPr>
            <w:tcW w:w="1838" w:type="dxa"/>
            <w:textDirection w:val="lrTb"/>
            <w:noWrap w:val="false"/>
          </w:tcPr>
          <w:p>
            <w:pPr>
              <w:ind w:right="-2"/>
              <w:jc w:val="center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sz w:val="20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  <w:lang w:val="uk-UA"/>
              </w:rPr>
              <w:t xml:space="preserve">1</w:t>
            </w:r>
            <w:r/>
          </w:p>
        </w:tc>
        <w:tc>
          <w:tcPr>
            <w:tcW w:w="4580" w:type="dxa"/>
            <w:textDirection w:val="lrTb"/>
            <w:noWrap w:val="false"/>
          </w:tcPr>
          <w:p>
            <w:pPr>
              <w:ind w:right="-2"/>
              <w:jc w:val="center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sz w:val="20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  <w:lang w:val="uk-UA"/>
              </w:rPr>
              <w:t xml:space="preserve">2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ind w:right="-2"/>
              <w:jc w:val="center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sz w:val="20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  <w:lang w:val="uk-UA"/>
              </w:rPr>
              <w:t xml:space="preserve">3</w:t>
            </w:r>
            <w:r/>
          </w:p>
        </w:tc>
      </w:tr>
      <w:tr>
        <w:trPr/>
        <w:tc>
          <w:tcPr>
            <w:tcW w:w="1838" w:type="dxa"/>
            <w:textDirection w:val="lrTb"/>
            <w:noWrap w:val="false"/>
          </w:tcPr>
          <w:p>
            <w:pPr>
              <w:ind w:right="-2"/>
              <w:jc w:val="center"/>
              <w:tabs>
                <w:tab w:val="left" w:pos="142" w:leader="none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</w:t>
            </w:r>
            <w:r/>
          </w:p>
        </w:tc>
        <w:tc>
          <w:tcPr>
            <w:tcW w:w="4580" w:type="dxa"/>
            <w:textDirection w:val="lrTb"/>
            <w:noWrap w:val="false"/>
          </w:tcPr>
          <w:p>
            <w:pPr>
              <w:ind w:right="-2"/>
              <w:jc w:val="both"/>
              <w:tabs>
                <w:tab w:val="left" w:pos="142" w:leader="none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Зернові культури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ind w:right="-2"/>
              <w:jc w:val="center"/>
              <w:tabs>
                <w:tab w:val="left" w:pos="142" w:leader="none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110000 т</w:t>
            </w:r>
            <w:r/>
          </w:p>
        </w:tc>
      </w:tr>
    </w:tbl>
    <w:p>
      <w:pPr>
        <w:ind w:right="-2" w:firstLine="709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елеваторі здійснюються всі маніпуляції, які націлені на забезпечення збереження зернових і поліпшення якісних показників.</w:t>
      </w:r>
      <w:r/>
    </w:p>
    <w:p>
      <w:pPr>
        <w:ind w:right="-2" w:firstLine="709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Усі задіяні машини забезпечують проведення таких робіт, як:</w:t>
      </w:r>
      <w:r/>
    </w:p>
    <w:p>
      <w:pPr>
        <w:pStyle w:val="664"/>
        <w:numPr>
          <w:ilvl w:val="0"/>
          <w:numId w:val="11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прийом;</w:t>
      </w:r>
      <w:r/>
    </w:p>
    <w:p>
      <w:pPr>
        <w:pStyle w:val="664"/>
        <w:numPr>
          <w:ilvl w:val="0"/>
          <w:numId w:val="11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очищення, сушіння, знезараження;</w:t>
      </w:r>
      <w:r/>
    </w:p>
    <w:p>
      <w:pPr>
        <w:pStyle w:val="664"/>
        <w:numPr>
          <w:ilvl w:val="0"/>
          <w:numId w:val="11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зберігання;</w:t>
      </w:r>
      <w:r/>
    </w:p>
    <w:p>
      <w:pPr>
        <w:pStyle w:val="664"/>
        <w:numPr>
          <w:ilvl w:val="0"/>
          <w:numId w:val="11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переміщення всередині комплексу;</w:t>
      </w:r>
      <w:r/>
    </w:p>
    <w:p>
      <w:pPr>
        <w:pStyle w:val="664"/>
        <w:numPr>
          <w:ilvl w:val="0"/>
          <w:numId w:val="11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відпуск (до призначених пунктів за допомогою автомобільного та залізничного транспорту.</w:t>
      </w:r>
      <w:r/>
    </w:p>
    <w:p>
      <w:pPr>
        <w:ind w:right="-2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До складу підприємства входить:</w:t>
      </w:r>
      <w:r/>
    </w:p>
    <w:p>
      <w:pPr>
        <w:pStyle w:val="664"/>
        <w:numPr>
          <w:ilvl w:val="0"/>
          <w:numId w:val="12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основне виробництво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:</w:t>
      </w:r>
      <w:r/>
    </w:p>
    <w:p>
      <w:pPr>
        <w:pStyle w:val="664"/>
        <w:numPr>
          <w:ilvl w:val="1"/>
          <w:numId w:val="12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робоча башта №1;</w:t>
      </w:r>
      <w:r/>
    </w:p>
    <w:p>
      <w:pPr>
        <w:pStyle w:val="664"/>
        <w:numPr>
          <w:ilvl w:val="1"/>
          <w:numId w:val="12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робоча башта №2;</w:t>
      </w:r>
      <w:r/>
    </w:p>
    <w:p>
      <w:pPr>
        <w:pStyle w:val="664"/>
        <w:numPr>
          <w:ilvl w:val="1"/>
          <w:numId w:val="12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робоча башта №3;</w:t>
      </w:r>
      <w:r/>
    </w:p>
    <w:p>
      <w:pPr>
        <w:pStyle w:val="664"/>
        <w:numPr>
          <w:ilvl w:val="1"/>
          <w:numId w:val="12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складське господарство (зерносклади амбарного типу – 7 од., силоси зберігання зерна – 3 од.);</w:t>
      </w:r>
      <w:r/>
    </w:p>
    <w:p>
      <w:pPr>
        <w:pStyle w:val="664"/>
        <w:numPr>
          <w:ilvl w:val="1"/>
          <w:numId w:val="12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зерносушильний комплекс (4 зерносушарки Meyer-2400S)</w:t>
      </w:r>
      <w:r/>
    </w:p>
    <w:p>
      <w:pPr>
        <w:pStyle w:val="664"/>
        <w:numPr>
          <w:ilvl w:val="0"/>
          <w:numId w:val="12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допоміжне виробництво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:</w:t>
      </w:r>
      <w:r/>
    </w:p>
    <w:p>
      <w:pPr>
        <w:pStyle w:val="664"/>
        <w:numPr>
          <w:ilvl w:val="1"/>
          <w:numId w:val="12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виробнича технічна лабораторія;</w:t>
      </w:r>
      <w:r/>
    </w:p>
    <w:p>
      <w:pPr>
        <w:pStyle w:val="664"/>
        <w:numPr>
          <w:ilvl w:val="1"/>
          <w:numId w:val="12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майстерня;</w:t>
      </w:r>
      <w:r/>
    </w:p>
    <w:p>
      <w:pPr>
        <w:pStyle w:val="664"/>
        <w:numPr>
          <w:ilvl w:val="1"/>
          <w:numId w:val="12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топкова;</w:t>
      </w:r>
      <w:r/>
    </w:p>
    <w:p>
      <w:pPr>
        <w:pStyle w:val="664"/>
        <w:numPr>
          <w:ilvl w:val="1"/>
          <w:numId w:val="12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гараж.</w:t>
      </w:r>
      <w:r/>
    </w:p>
    <w:p>
      <w:pPr>
        <w:pStyle w:val="664"/>
        <w:numPr>
          <w:ilvl w:val="0"/>
          <w:numId w:val="12"/>
        </w:numPr>
        <w:ind w:right="-2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адміністративно-побутовий корпус.</w:t>
      </w:r>
      <w:r/>
    </w:p>
    <w:p>
      <w:pPr>
        <w:ind w:right="-2" w:firstLine="709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Виробничою схемою підприємства передбачено розміщення тех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нологічного обладнання так, щоб забезпечити безперервне виконання операцій із зерном та їх доцільну черговість, звести до мінімуму транспортні операції та вантажно-розвантажувальні роботи із зерном, виключити можливість змішування різнорідних партій зерна.</w:t>
      </w:r>
      <w:r/>
    </w:p>
    <w:p>
      <w:pPr>
        <w:ind w:right="-2" w:firstLine="709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trike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Зернові на підприємство надходять автотранспортом від перевірених постачальників згідно укладених договорів. Відбір проб здійснюється автоматично при заїзді та виїзді транспорту на елеваторний комплекс. Зважування партій зерн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ових здійснюється на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автовагах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</w:t>
      </w:r>
      <w:r/>
    </w:p>
    <w:p>
      <w:pPr>
        <w:ind w:right="-2" w:firstLine="709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Власною лабораторією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онтролюються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необхідні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показники зерна, встановлюється його класність відповідно до діючих ДСТУ.</w:t>
      </w:r>
      <w:r/>
    </w:p>
    <w:p>
      <w:pPr>
        <w:ind w:right="-2" w:firstLine="709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разі засміченості зер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нових вони надходять на очистку, якщо зерно вологе – на сушіння. Операції можна здійснювати і паралельно: гнучкість схеми позначається на можливості перебудови маршрутів та у здатності одночасно проводити кілька операцій з мінімальною кількістю обладнання.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/>
    </w:p>
    <w:p>
      <w:pPr>
        <w:pStyle w:val="685"/>
        <w:ind w:firstLine="709"/>
        <w:jc w:val="center"/>
        <w:spacing w:line="276" w:lineRule="auto"/>
        <w:shd w:val="clear" w:color="auto" w:fill="auto"/>
        <w:tabs>
          <w:tab w:val="left" w:pos="10206" w:leader="none"/>
        </w:tabs>
        <w:rPr>
          <w:b/>
          <w:sz w:val="26"/>
          <w:szCs w:val="26"/>
        </w:rPr>
      </w:pPr>
      <w:r>
        <w:rPr>
          <w:rStyle w:val="681"/>
          <w:rFonts w:eastAsia="Calibri"/>
          <w:b/>
          <w:sz w:val="26"/>
          <w:szCs w:val="26"/>
        </w:rPr>
        <w:t xml:space="preserve">Основне виробництво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До складу робочої башти №1 входить точка </w:t>
      </w:r>
      <w:r>
        <w:rPr>
          <w:sz w:val="26"/>
          <w:szCs w:val="26"/>
        </w:rPr>
        <w:t xml:space="preserve">автоприйому</w:t>
      </w:r>
      <w:r>
        <w:rPr>
          <w:sz w:val="26"/>
          <w:szCs w:val="26"/>
        </w:rPr>
        <w:t xml:space="preserve">, сепаратор БСХ-200 (обладнаний газоочисною установкою циклон ЦОЛ-</w:t>
      </w:r>
      <w:r>
        <w:rPr>
          <w:sz w:val="26"/>
          <w:szCs w:val="26"/>
        </w:rPr>
        <w:t xml:space="preserve">9), бункер відвантаження зерновідходів.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Приймання партії зернових здійснюється в точці </w:t>
      </w:r>
      <w:r>
        <w:rPr>
          <w:sz w:val="26"/>
          <w:szCs w:val="26"/>
        </w:rPr>
        <w:t xml:space="preserve">автоприйому</w:t>
      </w:r>
      <w:r>
        <w:rPr>
          <w:sz w:val="26"/>
          <w:szCs w:val="26"/>
        </w:rPr>
        <w:t xml:space="preserve">, з якої системою транспортерів зернові надходять на очистку та сушку. Також за необхідністю ці операції можуть здійснюватися окремо.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Очистка зернових здійснюється в сепараторі БСХ-200.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Зерноочищувальний сепаратор моделі БСХ-200 призначений, як для первинного очищення (елеваторний режим), так і для остаточного очищення (млиновий режим) зернового </w:t>
      </w:r>
      <w:r>
        <w:rPr>
          <w:sz w:val="26"/>
          <w:szCs w:val="26"/>
        </w:rPr>
        <w:t xml:space="preserve">вороху</w:t>
      </w:r>
      <w:r>
        <w:rPr>
          <w:sz w:val="26"/>
          <w:szCs w:val="26"/>
        </w:rPr>
        <w:t xml:space="preserve"> колосових (пшениці, жита, вівса та </w:t>
      </w:r>
      <w:r>
        <w:rPr>
          <w:sz w:val="26"/>
          <w:szCs w:val="26"/>
        </w:rPr>
        <w:t xml:space="preserve">ін</w:t>
      </w:r>
      <w:r>
        <w:rPr>
          <w:sz w:val="26"/>
          <w:szCs w:val="26"/>
        </w:rPr>
        <w:t xml:space="preserve">), круп’яних і зернобобових культур, технічних та олійних культур, насіння трав від легких, великих і дрібних, засмічених та зернових домішок, що відрізняються геометричними розмірами та аеродинамічними властивостями, відокремлювани</w:t>
      </w:r>
      <w:r>
        <w:rPr>
          <w:sz w:val="26"/>
          <w:szCs w:val="26"/>
        </w:rPr>
        <w:t xml:space="preserve">х повітряним потоком і решетами, з метою доведення вмісту домішок в зерні, що заготовлюється до показників, регламентованих Правилами ведення технологічних процесів на елеваторах, млинах, крупозаводах, комбікормових заводах та інших нормативних документах.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Сепаратор БСХ-200 складається з наступних основних вузлів: ситового кузова, приводу ситового кузова, </w:t>
      </w:r>
      <w:r>
        <w:rPr>
          <w:sz w:val="26"/>
          <w:szCs w:val="26"/>
        </w:rPr>
        <w:t xml:space="preserve">пневмосепаруючих</w:t>
      </w:r>
      <w:r>
        <w:rPr>
          <w:sz w:val="26"/>
          <w:szCs w:val="26"/>
        </w:rPr>
        <w:t xml:space="preserve"> каналів, приймальних та випускних пристроїв, станини.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Технологічний процес очищення зерна у сепараторах здійснюєт</w:t>
      </w:r>
      <w:r>
        <w:rPr>
          <w:sz w:val="26"/>
          <w:szCs w:val="26"/>
        </w:rPr>
        <w:t xml:space="preserve">ься наступним чином. Вихідну суміш після попереднього очищення подають окремо в кожну секцію через розподільники та приймальні патрубки, з яких вона надходить на сортувальне сито, на якому за допомогою клапана розподіляється рівномірним шаром по всій його </w:t>
      </w:r>
      <w:r>
        <w:rPr>
          <w:sz w:val="26"/>
          <w:szCs w:val="26"/>
        </w:rPr>
        <w:t xml:space="preserve">ширині.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Фартух зменшує можливість потрапляння зерна у відхо</w:t>
      </w:r>
      <w:r>
        <w:rPr>
          <w:sz w:val="26"/>
          <w:szCs w:val="26"/>
        </w:rPr>
        <w:t xml:space="preserve">ди. Великі домішки (сход із сортувальних сит) виводяться з сепаратора по лотку, а суміш зерна з дрібними домішками проходом через сортувальне сито надходить на підсівне. Дрібні домішки (прохід підсівного сита) по днищу кузова виводяться з сепаратора через </w:t>
      </w:r>
      <w:r>
        <w:rPr>
          <w:rFonts w:ascii="SegoeUI" w:hAnsi="SegoeUI"/>
          <w:sz w:val="26"/>
          <w:szCs w:val="26"/>
          <w:shd w:val="clear" w:color="auto" w:fill="ffffff"/>
        </w:rPr>
        <w:t xml:space="preserve">а потім через лоток виводяться з машини</w:t>
      </w:r>
      <w:r>
        <w:rPr>
          <w:rFonts w:ascii="SegoeUI" w:hAnsi="SegoeUI"/>
          <w:sz w:val="26"/>
          <w:szCs w:val="26"/>
          <w:shd w:val="clear" w:color="auto" w:fill="ffffff"/>
          <w:lang w:val="ru-RU"/>
        </w:rPr>
        <w:t xml:space="preserve">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Очищене на ситах зерно надходить у приймальну коробку </w:t>
      </w:r>
      <w:r>
        <w:rPr>
          <w:sz w:val="26"/>
          <w:szCs w:val="26"/>
        </w:rPr>
        <w:t xml:space="preserve">пневмосепаруючого</w:t>
      </w:r>
      <w:r>
        <w:rPr>
          <w:sz w:val="26"/>
          <w:szCs w:val="26"/>
        </w:rPr>
        <w:t xml:space="preserve"> каналу і на </w:t>
      </w:r>
      <w:r>
        <w:rPr>
          <w:sz w:val="26"/>
          <w:szCs w:val="26"/>
        </w:rPr>
        <w:t xml:space="preserve">вібролоток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Системою аспірації передбачено очищення повітря від пилу циклонним апаратом типу ЦОЛ-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 ефективністю очищення повітря від пилу зернового 88-98%.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Після очищення домішки виводяться назовні, де переміщуються до секцій бункеру відходів, розташованих знизу зерноочисного комплексу. Зазначені відходи збираються у бункер відходів та по мірі накопичення транспортної партії вивозяться.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Далі очищене зерно може надходити або на сушку, або в зерносклад на зберігання.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Сушка зернових здійснюється в 2-х баштових зерносушарках Meyer-2400S №1 та №2, розташованих біля робочої башти №1. Кожна зерносушарка має власний приймальний бункер та має можливість відвантажувати зернові в кузов автомобілю у разі необхідності.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Принцип дії зерносушарки заснований на сушінні сировини, що рухається між двома перфорованими листами і продувається гарячим повітрям. Установка має циліндричну форму. 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Поділ нагрівального та охолоджуючого відсіків камери забезпечують спеціальні воронки. Усередині баштової сушарки розташовані безшумні вентилятори, які під впливом високого тиску подають у камеру великий </w:t>
      </w:r>
      <w:r>
        <w:rPr>
          <w:sz w:val="26"/>
          <w:szCs w:val="26"/>
        </w:rPr>
        <w:t xml:space="preserve">обʼєм</w:t>
      </w:r>
      <w:r>
        <w:rPr>
          <w:sz w:val="26"/>
          <w:szCs w:val="26"/>
        </w:rPr>
        <w:t xml:space="preserve"> повітря. Швидкість надходження повітряних мас регулюється за допомогою редукційного корпусу. Відсутність відкритого вогню є незаперечною перевагою даного агрегату, оскільки практично виключена</w:t>
      </w:r>
      <w:r>
        <w:rPr>
          <w:sz w:val="26"/>
          <w:szCs w:val="26"/>
        </w:rPr>
        <w:t xml:space="preserve"> можливість виникнення спалаху. Температурні датчики встановлені у кількох місцях баштової сушарки, але в виході є датчик вологості зерна. Комп'ютерна система управління дозволяє підтримувати один із можливих режимів сушіння зернових або олійних культур з </w:t>
      </w:r>
      <w:r>
        <w:rPr>
          <w:sz w:val="26"/>
          <w:szCs w:val="26"/>
        </w:rPr>
        <w:t xml:space="preserve">автокеруванням</w:t>
      </w:r>
      <w:r>
        <w:rPr>
          <w:sz w:val="26"/>
          <w:szCs w:val="26"/>
        </w:rPr>
        <w:t xml:space="preserve"> пальником та </w:t>
      </w:r>
      <w:r>
        <w:rPr>
          <w:sz w:val="26"/>
          <w:szCs w:val="26"/>
        </w:rPr>
        <w:t xml:space="preserve">відбирачем</w:t>
      </w:r>
      <w:r>
        <w:rPr>
          <w:sz w:val="26"/>
          <w:szCs w:val="26"/>
        </w:rPr>
        <w:t xml:space="preserve"> сировини.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Зерносушарки працюють на природному газі. Для скиду надлишкового тиску та продувки газопроводу зерносушарки обладнані скидними свічками.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Просушене зерно системою норій та транспортерів подається на зберігання в підлогові зерносклади амбарного типу або відвантажується в автотранспорт. 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робочій башті №2 встановлено сепаратор БСХ-100, обладнаний газоочисною установкою ЦОЛ-9 з ефективністю очищення повітря від пилу зернового 88-98%. Принцип роботи сепаратору аналогічний роботі сепаратору БСХ-200.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Завантаження зернових здійснюється за рахунок завальної ями зерноскладу №6, яка розміщена між робочою баштою №2 та зерноскладом №6.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Після очищення домішки виводяться назовні, де переміщуються до секцій бункеру відходів, розташованих знизу зерноочисного комплексу. Зазначені відходи збираються у бункер відходів та по мірі накопичення транспортної партії вивозяться.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Далі очищене зерно надходить в зерносклад на зберігання.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робочі башті №3 встановлено зерноочисний сепаратор БСХ-300, обладнаний спареними циклонами ББЦ-500 з ефективністю очищення повітря від пилу зернового 95-98%.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Далі очищене зерно може надходити або на сушку, або в зерносклад на зберігання.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Сушка зернових здійснюється в 2-х баштових зерносушарках Meyer-2400S №3 та №</w:t>
      </w:r>
      <w:r>
        <w:rPr>
          <w:sz w:val="26"/>
          <w:szCs w:val="26"/>
        </w:rPr>
        <w:t xml:space="preserve">4,</w:t>
      </w:r>
      <w:r>
        <w:rPr>
          <w:sz w:val="26"/>
          <w:szCs w:val="26"/>
        </w:rPr>
        <w:t xml:space="preserve"> розташованих біля робочої башти №3. Окрім транспортерів, завантаження зерносушарок здійснюється через приймальний бункер, з якого вже системою транспортерів відбувається розподіл зернових мас на ту чи іншу зерносушарку.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Зберігання зернових культур здійснюється в підлогових складах амбарного типу, які мають наступну ємність:</w:t>
      </w:r>
      <w:r/>
    </w:p>
    <w:p>
      <w:pPr>
        <w:pStyle w:val="685"/>
        <w:numPr>
          <w:ilvl w:val="0"/>
          <w:numId w:val="9"/>
        </w:numPr>
        <w:ind w:firstLine="709"/>
        <w:jc w:val="both"/>
        <w:spacing w:line="276" w:lineRule="auto"/>
        <w:shd w:val="clear" w:color="auto" w:fill="auto"/>
        <w:tabs>
          <w:tab w:val="left" w:pos="1123" w:leader="none"/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зерновий склад </w:t>
      </w:r>
      <w:r>
        <w:rPr>
          <w:rStyle w:val="680"/>
          <w:sz w:val="26"/>
          <w:szCs w:val="26"/>
        </w:rPr>
        <w:t xml:space="preserve">№1</w:t>
      </w:r>
      <w:r>
        <w:rPr>
          <w:sz w:val="26"/>
          <w:szCs w:val="26"/>
        </w:rPr>
        <w:t xml:space="preserve"> проектна ємність 4000 </w:t>
      </w:r>
      <w:r>
        <w:rPr>
          <w:sz w:val="26"/>
          <w:szCs w:val="26"/>
        </w:rPr>
        <w:t xml:space="preserve">тонн</w:t>
      </w:r>
      <w:r>
        <w:rPr>
          <w:sz w:val="26"/>
          <w:szCs w:val="26"/>
        </w:rPr>
        <w:t xml:space="preserve"> (склад обладнаний </w:t>
      </w:r>
      <w:r>
        <w:rPr>
          <w:sz w:val="26"/>
          <w:szCs w:val="26"/>
        </w:rPr>
        <w:t xml:space="preserve">автоперекидачем</w:t>
      </w:r>
      <w:r>
        <w:rPr>
          <w:sz w:val="26"/>
          <w:szCs w:val="26"/>
        </w:rPr>
        <w:t xml:space="preserve"> ГУАР-15);</w:t>
      </w:r>
      <w:r/>
    </w:p>
    <w:p>
      <w:pPr>
        <w:pStyle w:val="685"/>
        <w:numPr>
          <w:ilvl w:val="0"/>
          <w:numId w:val="9"/>
        </w:numPr>
        <w:ind w:firstLine="709"/>
        <w:jc w:val="both"/>
        <w:spacing w:line="276" w:lineRule="auto"/>
        <w:shd w:val="clear" w:color="auto" w:fill="auto"/>
        <w:tabs>
          <w:tab w:val="left" w:pos="1123" w:leader="none"/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зерновий склад </w:t>
      </w:r>
      <w:r>
        <w:rPr>
          <w:rStyle w:val="680"/>
          <w:sz w:val="26"/>
          <w:szCs w:val="26"/>
        </w:rPr>
        <w:t xml:space="preserve">№2</w:t>
      </w:r>
      <w:r>
        <w:rPr>
          <w:sz w:val="26"/>
          <w:szCs w:val="26"/>
        </w:rPr>
        <w:t xml:space="preserve"> проектна ємність 3200 </w:t>
      </w:r>
      <w:r>
        <w:rPr>
          <w:sz w:val="26"/>
          <w:szCs w:val="26"/>
        </w:rPr>
        <w:t xml:space="preserve">тонн</w:t>
      </w:r>
      <w:r>
        <w:rPr>
          <w:sz w:val="26"/>
          <w:szCs w:val="26"/>
        </w:rPr>
        <w:t xml:space="preserve">;</w:t>
      </w:r>
      <w:r/>
    </w:p>
    <w:p>
      <w:pPr>
        <w:pStyle w:val="685"/>
        <w:numPr>
          <w:ilvl w:val="0"/>
          <w:numId w:val="9"/>
        </w:numPr>
        <w:ind w:firstLine="709"/>
        <w:jc w:val="both"/>
        <w:spacing w:line="276" w:lineRule="auto"/>
        <w:shd w:val="clear" w:color="auto" w:fill="auto"/>
        <w:tabs>
          <w:tab w:val="left" w:pos="1123" w:leader="none"/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зерновий склад №3 проектна ємність 2800 </w:t>
      </w:r>
      <w:r>
        <w:rPr>
          <w:sz w:val="26"/>
          <w:szCs w:val="26"/>
        </w:rPr>
        <w:t xml:space="preserve">тонн</w:t>
      </w:r>
      <w:r>
        <w:rPr>
          <w:sz w:val="26"/>
          <w:szCs w:val="26"/>
        </w:rPr>
        <w:t xml:space="preserve">;</w:t>
      </w:r>
      <w:r/>
    </w:p>
    <w:p>
      <w:pPr>
        <w:pStyle w:val="685"/>
        <w:numPr>
          <w:ilvl w:val="0"/>
          <w:numId w:val="9"/>
        </w:numPr>
        <w:ind w:firstLine="709"/>
        <w:jc w:val="both"/>
        <w:spacing w:line="276" w:lineRule="auto"/>
        <w:shd w:val="clear" w:color="auto" w:fill="auto"/>
        <w:tabs>
          <w:tab w:val="left" w:pos="1123" w:leader="none"/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зерновий склад №4 проектна ємність 3200 </w:t>
      </w:r>
      <w:r>
        <w:rPr>
          <w:sz w:val="26"/>
          <w:szCs w:val="26"/>
        </w:rPr>
        <w:t xml:space="preserve">тонн</w:t>
      </w:r>
      <w:r>
        <w:rPr>
          <w:sz w:val="26"/>
          <w:szCs w:val="26"/>
        </w:rPr>
        <w:t xml:space="preserve">;</w:t>
      </w:r>
      <w:r/>
    </w:p>
    <w:p>
      <w:pPr>
        <w:pStyle w:val="685"/>
        <w:numPr>
          <w:ilvl w:val="0"/>
          <w:numId w:val="9"/>
        </w:numPr>
        <w:ind w:firstLine="709"/>
        <w:jc w:val="both"/>
        <w:spacing w:line="276" w:lineRule="auto"/>
        <w:shd w:val="clear" w:color="auto" w:fill="auto"/>
        <w:tabs>
          <w:tab w:val="left" w:pos="1123" w:leader="none"/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зерновий склад №5 проектна ємність 2500 </w:t>
      </w:r>
      <w:r>
        <w:rPr>
          <w:sz w:val="26"/>
          <w:szCs w:val="26"/>
        </w:rPr>
        <w:t xml:space="preserve">тонн</w:t>
      </w:r>
      <w:r>
        <w:rPr>
          <w:sz w:val="26"/>
          <w:szCs w:val="26"/>
        </w:rPr>
        <w:t xml:space="preserve">;</w:t>
      </w:r>
      <w:r/>
    </w:p>
    <w:p>
      <w:pPr>
        <w:pStyle w:val="685"/>
        <w:numPr>
          <w:ilvl w:val="0"/>
          <w:numId w:val="9"/>
        </w:numPr>
        <w:ind w:firstLine="709"/>
        <w:jc w:val="both"/>
        <w:spacing w:line="276" w:lineRule="auto"/>
        <w:shd w:val="clear" w:color="auto" w:fill="auto"/>
        <w:tabs>
          <w:tab w:val="left" w:pos="1123" w:leader="none"/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зерновий склад </w:t>
      </w:r>
      <w:r>
        <w:rPr>
          <w:rStyle w:val="680"/>
          <w:sz w:val="26"/>
          <w:szCs w:val="26"/>
        </w:rPr>
        <w:t xml:space="preserve">№6</w:t>
      </w:r>
      <w:r>
        <w:rPr>
          <w:sz w:val="26"/>
          <w:szCs w:val="26"/>
        </w:rPr>
        <w:t xml:space="preserve"> проектна ємність 3200 </w:t>
      </w:r>
      <w:r>
        <w:rPr>
          <w:sz w:val="26"/>
          <w:szCs w:val="26"/>
        </w:rPr>
        <w:t xml:space="preserve">тонн</w:t>
      </w:r>
      <w:r>
        <w:rPr>
          <w:sz w:val="26"/>
          <w:szCs w:val="26"/>
        </w:rPr>
        <w:t xml:space="preserve"> (склад обладнаний завальною ямою);</w:t>
      </w:r>
      <w:r/>
    </w:p>
    <w:p>
      <w:pPr>
        <w:pStyle w:val="685"/>
        <w:numPr>
          <w:ilvl w:val="0"/>
          <w:numId w:val="9"/>
        </w:numPr>
        <w:ind w:firstLine="709"/>
        <w:jc w:val="both"/>
        <w:spacing w:line="276" w:lineRule="auto"/>
        <w:shd w:val="clear" w:color="auto" w:fill="auto"/>
        <w:tabs>
          <w:tab w:val="left" w:pos="1123" w:leader="none"/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зерновий склад </w:t>
      </w:r>
      <w:r>
        <w:rPr>
          <w:rStyle w:val="680"/>
          <w:sz w:val="26"/>
          <w:szCs w:val="26"/>
        </w:rPr>
        <w:t xml:space="preserve">№8</w:t>
      </w:r>
      <w:r>
        <w:rPr>
          <w:sz w:val="26"/>
          <w:szCs w:val="26"/>
        </w:rPr>
        <w:t xml:space="preserve"> проектна ємність 3200 </w:t>
      </w:r>
      <w:r>
        <w:rPr>
          <w:sz w:val="26"/>
          <w:szCs w:val="26"/>
        </w:rPr>
        <w:t xml:space="preserve">тонн</w:t>
      </w:r>
      <w:r>
        <w:rPr>
          <w:sz w:val="26"/>
          <w:szCs w:val="26"/>
        </w:rPr>
        <w:t xml:space="preserve"> (склад обладнаний завальною ямою).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Всі зернові склади механізовані, їх завантаження здійснюється з застосуванням стаціонарної системи критих стрічкових транспортерів та вертикальних розвантажувачів.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Також тривале зберігання зернових відбувається в трьох </w:t>
      </w:r>
      <w:r>
        <w:rPr>
          <w:sz w:val="26"/>
          <w:szCs w:val="26"/>
        </w:rPr>
        <w:t xml:space="preserve">силосах</w:t>
      </w:r>
      <w:r>
        <w:rPr>
          <w:sz w:val="26"/>
          <w:szCs w:val="26"/>
        </w:rPr>
        <w:t xml:space="preserve">, місткістю по 10322 м</w:t>
      </w:r>
      <w:r>
        <w:rPr>
          <w:sz w:val="26"/>
          <w:szCs w:val="26"/>
          <w:vertAlign w:val="superscript"/>
        </w:rPr>
        <w:t xml:space="preserve">3 </w:t>
      </w:r>
      <w:r>
        <w:rPr>
          <w:sz w:val="26"/>
          <w:szCs w:val="26"/>
        </w:rPr>
        <w:t xml:space="preserve">кожен. Кожний силос обладнано чотирма вентиляторами для аерації зерна та зачисним </w:t>
      </w:r>
      <w:r>
        <w:rPr>
          <w:sz w:val="26"/>
          <w:szCs w:val="26"/>
        </w:rPr>
        <w:t xml:space="preserve">шнеком</w:t>
      </w:r>
      <w:r>
        <w:rPr>
          <w:sz w:val="26"/>
          <w:szCs w:val="26"/>
        </w:rPr>
        <w:t xml:space="preserve">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Завантаження силосів здійснюється </w:t>
      </w:r>
      <w:r>
        <w:rPr>
          <w:sz w:val="26"/>
          <w:szCs w:val="26"/>
        </w:rPr>
        <w:t xml:space="preserve">ланцюговими скребковими</w:t>
      </w:r>
      <w:r>
        <w:rPr>
          <w:sz w:val="26"/>
          <w:szCs w:val="26"/>
        </w:rPr>
        <w:t xml:space="preserve"> транспортерами, при чому силос завантажується з розвантажувальної секції транспортера шляхом відкриття електричної засувки. Завантаження транспортерів відбувається за допомогою двох ланцюгових скребкових транспортерів.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Розвантаження трьох силосів здійснюється двома ланцюговими скребковими транспортерами, які встановлені в підземній </w:t>
      </w:r>
      <w:r>
        <w:rPr>
          <w:sz w:val="26"/>
          <w:szCs w:val="26"/>
        </w:rPr>
        <w:t xml:space="preserve">підсилосній</w:t>
      </w:r>
      <w:r>
        <w:rPr>
          <w:sz w:val="26"/>
          <w:szCs w:val="26"/>
        </w:rPr>
        <w:t xml:space="preserve"> галереї. Цими транспортерами здійснюється подача зерна через перекидний клапан на норії, які встановлені в башті. За допомогою норії здійснюється подача зерна на очищення, на транспортер подачі зерна, на залізничний та автомобільний транспорт.</w:t>
      </w:r>
      <w:r/>
    </w:p>
    <w:p>
      <w:pPr>
        <w:ind w:right="-2" w:firstLine="709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елеваторі відвантаження зернових здійснюється у залізничний транспорт та автомобільний транспорт. </w:t>
      </w:r>
      <w:r/>
    </w:p>
    <w:p>
      <w:pPr>
        <w:ind w:right="-2" w:firstLine="709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Відвантаження зернових в залізничний трансп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орт відбувається через верхні люки залізничних вагонів-хоперів. Пункт відвантаження зерна представляє собою комплекс металоконструкцій, що включає буферні ємності і призначений для тимчасового зберігання зерна з його подальшим самопливним вивантаженням за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допомогою гнучких рукавів без участі додаткових вивантажувальних систем в залізничний транспорт.</w:t>
      </w:r>
      <w:r/>
    </w:p>
    <w:p>
      <w:pPr>
        <w:ind w:right="-2" w:firstLine="709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Відвантаження зернових в авто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мобільний транспорт здійснюється також самопливним вивантаженням за допомогою гнучких рукавів без участі додаткових вивантажувальних систем біля зерносушарок №№1-4, між складами №6 та №7 та біля силосів зберігання зерна з використанням оперативної ємності.</w:t>
      </w:r>
      <w:r/>
    </w:p>
    <w:p>
      <w:pPr>
        <w:ind w:firstLine="709"/>
        <w:jc w:val="center"/>
        <w:spacing w:after="0" w:line="276" w:lineRule="auto"/>
        <w:tabs>
          <w:tab w:val="left" w:pos="10206" w:leader="none"/>
        </w:tabs>
        <w:rPr>
          <w:rStyle w:val="681"/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/>
    </w:p>
    <w:p>
      <w:pPr>
        <w:ind w:firstLine="709"/>
        <w:jc w:val="center"/>
        <w:spacing w:after="0" w:line="276" w:lineRule="auto"/>
        <w:tabs>
          <w:tab w:val="left" w:pos="10206" w:leader="none"/>
        </w:tabs>
        <w:rPr>
          <w:rStyle w:val="681"/>
          <w:rFonts w:eastAsia="Calibri"/>
          <w:b/>
          <w:iCs w:val="0"/>
          <w:sz w:val="26"/>
          <w:szCs w:val="26"/>
        </w:rPr>
      </w:pPr>
      <w:r>
        <w:rPr>
          <w:rStyle w:val="681"/>
          <w:rFonts w:eastAsia="Calibri"/>
          <w:b/>
          <w:sz w:val="26"/>
          <w:szCs w:val="26"/>
        </w:rPr>
        <w:t xml:space="preserve">Допоміжне виробництво</w:t>
      </w:r>
      <w:r/>
    </w:p>
    <w:p>
      <w:pPr>
        <w:ind w:right="-2" w:firstLine="709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 w:eastAsia="SimSun"/>
          <w:sz w:val="26"/>
          <w:szCs w:val="26"/>
          <w:lang w:val="uk-UA"/>
        </w:rPr>
      </w:pPr>
      <w:r>
        <w:rPr>
          <w:rFonts w:ascii="Times New Roman" w:hAnsi="Times New Roman" w:cs="Times New Roman" w:eastAsia="SimSun"/>
          <w:sz w:val="26"/>
          <w:szCs w:val="26"/>
          <w:u w:val="single"/>
          <w:lang w:val="uk-UA"/>
        </w:rPr>
        <w:t xml:space="preserve">Виробнича технологічна лабораторія</w:t>
      </w:r>
      <w:r>
        <w:rPr>
          <w:rFonts w:ascii="Times New Roman" w:hAnsi="Times New Roman" w:cs="Times New Roman" w:eastAsia="SimSun"/>
          <w:sz w:val="26"/>
          <w:szCs w:val="26"/>
          <w:lang w:val="uk-UA"/>
        </w:rPr>
        <w:t xml:space="preserve"> (далі – ВТЛ) є структурним підрозділом елеватору. ВТЛ розміщена у окремій будівлі біля </w:t>
      </w:r>
      <w:r>
        <w:rPr>
          <w:rFonts w:ascii="Times New Roman" w:hAnsi="Times New Roman" w:cs="Times New Roman" w:eastAsia="SimSun"/>
          <w:sz w:val="26"/>
          <w:szCs w:val="26"/>
          <w:lang w:val="uk-UA"/>
        </w:rPr>
        <w:t xml:space="preserve">вʼїзду</w:t>
      </w:r>
      <w:r>
        <w:rPr>
          <w:rFonts w:ascii="Times New Roman" w:hAnsi="Times New Roman" w:cs="Times New Roman" w:eastAsia="SimSun"/>
          <w:sz w:val="26"/>
          <w:szCs w:val="26"/>
          <w:lang w:val="uk-UA"/>
        </w:rPr>
        <w:t xml:space="preserve"> на територію підприємства в місці, зручному для </w:t>
      </w:r>
      <w:r>
        <w:rPr>
          <w:rFonts w:ascii="Times New Roman" w:hAnsi="Times New Roman" w:cs="Times New Roman" w:eastAsia="SimSun"/>
          <w:sz w:val="26"/>
          <w:szCs w:val="26"/>
          <w:lang w:val="uk-UA"/>
        </w:rPr>
        <w:t xml:space="preserve">підʼїзду</w:t>
      </w:r>
      <w:r>
        <w:rPr>
          <w:rFonts w:ascii="Times New Roman" w:hAnsi="Times New Roman" w:cs="Times New Roman" w:eastAsia="SimSun"/>
          <w:sz w:val="26"/>
          <w:szCs w:val="26"/>
          <w:lang w:val="uk-UA"/>
        </w:rPr>
        <w:t xml:space="preserve"> автомобільного транспорту. Після здійснення необхідних аналізів, надлишки зерна вивантажуються в бункер, який розташований біля будівлі лабораторії.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iCs/>
          <w:sz w:val="26"/>
          <w:szCs w:val="26"/>
        </w:rPr>
        <w:t xml:space="preserve">В </w:t>
      </w:r>
      <w:r>
        <w:rPr>
          <w:iCs/>
          <w:sz w:val="26"/>
          <w:szCs w:val="26"/>
          <w:u w:val="single"/>
        </w:rPr>
        <w:t xml:space="preserve">механічній майстерні</w:t>
      </w:r>
      <w:r>
        <w:rPr>
          <w:iCs/>
          <w:sz w:val="26"/>
          <w:szCs w:val="26"/>
        </w:rPr>
        <w:t xml:space="preserve"> здійснюється дрібний ремонт устаткування та обладнання. Для цього в приміщенні майстерні встановлено </w:t>
      </w:r>
      <w:r>
        <w:rPr>
          <w:iCs/>
          <w:sz w:val="26"/>
          <w:szCs w:val="26"/>
        </w:rPr>
        <w:t xml:space="preserve">заточний</w:t>
      </w:r>
      <w:r>
        <w:rPr>
          <w:iCs/>
          <w:sz w:val="26"/>
          <w:szCs w:val="26"/>
        </w:rPr>
        <w:t xml:space="preserve">, токарний та свердлильний верстати. </w:t>
      </w:r>
      <w:r>
        <w:rPr>
          <w:sz w:val="26"/>
          <w:szCs w:val="26"/>
        </w:rPr>
        <w:t xml:space="preserve">Верстати не обладнані пиловловлюючими установками. Приміщення дільниці не обладнане загально-обмінною вентиляцією. Виділення забруднюючих речовин відбувається в повітря робочої зони дільниці.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Зварювальні роботи проводяться біля майстерні під навісом.</w:t>
      </w:r>
      <w:r/>
    </w:p>
    <w:p>
      <w:pPr>
        <w:pStyle w:val="685"/>
        <w:ind w:firstLine="709"/>
        <w:jc w:val="both"/>
        <w:spacing w:line="276" w:lineRule="auto"/>
        <w:shd w:val="clear" w:color="auto" w:fill="auto"/>
        <w:tabs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Опалювання майстерні здійснюється твердопаливним котлом </w:t>
      </w:r>
      <w:r>
        <w:rPr>
          <w:sz w:val="26"/>
          <w:szCs w:val="26"/>
        </w:rPr>
        <w:t xml:space="preserve">Vesuvi</w:t>
      </w:r>
      <w:r>
        <w:rPr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Для виробництва тепла на території підприємства обладнано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топкову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в якій розміщено котел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Ретра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3М. В якості палива використовуються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органічні домішки рослинного походження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Топкова здійснює опалення лабораторії та адміністративно-побутового корпусу.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Зберігання автотранспорту здійснюється в окремо розташованому на території елеватору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гаражі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Для забезпечення електрикою виробництва у разі аварійного відключення від місцевих електромереж встановлено два дизельних генератори марки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Aksa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моделі AD330.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 w:eastAsia="SimSun"/>
          <w:sz w:val="26"/>
          <w:szCs w:val="26"/>
          <w:lang w:val="uk-UA"/>
        </w:rPr>
        <w:t xml:space="preserve">Територія елеватору огороджен</w:t>
      </w:r>
      <w:r>
        <w:rPr>
          <w:rFonts w:ascii="Times New Roman" w:hAnsi="Times New Roman" w:cs="Times New Roman" w:eastAsia="SimSun"/>
          <w:sz w:val="26"/>
          <w:szCs w:val="26"/>
          <w:lang w:val="uk-UA"/>
        </w:rPr>
        <w:t xml:space="preserve">а </w:t>
      </w:r>
      <w:r>
        <w:rPr>
          <w:rFonts w:ascii="Times New Roman" w:hAnsi="Times New Roman" w:cs="Times New Roman" w:eastAsia="SimSun"/>
          <w:sz w:val="26"/>
          <w:szCs w:val="26"/>
          <w:lang w:val="uk-UA"/>
        </w:rPr>
        <w:t xml:space="preserve">по периметру бетонним забором висотою 2 м. Автотранспортні зв’язки по території здійснюються по сформованій дорожній мережі з твердим покриттям. Передбачена можливість під’їзду пожежних машин до виробничих та побутових споруд.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Потужність та продуктивність технологічного устаткування підприємства наведено в таблиці.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Потужність та продуктивність технологічного устаткування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8"/>
        <w:gridCol w:w="1751"/>
        <w:gridCol w:w="663"/>
        <w:gridCol w:w="797"/>
        <w:gridCol w:w="779"/>
        <w:gridCol w:w="813"/>
        <w:gridCol w:w="1591"/>
        <w:gridCol w:w="1212"/>
        <w:gridCol w:w="1563"/>
      </w:tblGrid>
      <w:tr>
        <w:trPr>
          <w:tblHeader/>
        </w:trPr>
        <w:tc>
          <w:tcPr>
            <w:shd w:val="clear" w:color="auto" w:fill="auto"/>
            <w:tcW w:w="23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з/п</w:t>
            </w:r>
            <w:r/>
          </w:p>
        </w:tc>
        <w:tc>
          <w:tcPr>
            <w:shd w:val="clear" w:color="auto" w:fill="auto"/>
            <w:tcW w:w="9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 технологічного устаткування</w:t>
            </w:r>
            <w:r/>
          </w:p>
        </w:tc>
        <w:tc>
          <w:tcPr>
            <w:shd w:val="clear" w:color="auto" w:fill="auto"/>
            <w:tcW w:w="344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Кіль-кість</w:t>
            </w:r>
            <w:r/>
          </w:p>
        </w:tc>
        <w:tc>
          <w:tcPr>
            <w:gridSpan w:val="2"/>
            <w:shd w:val="clear" w:color="auto" w:fill="auto"/>
            <w:tcW w:w="8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Потужність технологічного устаткування</w:t>
            </w:r>
            <w:r/>
          </w:p>
        </w:tc>
        <w:tc>
          <w:tcPr>
            <w:tcW w:w="42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Баланс часу роботи</w:t>
            </w:r>
            <w:r/>
          </w:p>
        </w:tc>
        <w:tc>
          <w:tcPr>
            <w:tcW w:w="83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Режим роботи</w:t>
            </w:r>
            <w:r/>
          </w:p>
        </w:tc>
        <w:tc>
          <w:tcPr>
            <w:shd w:val="clear" w:color="auto" w:fill="auto"/>
            <w:tcW w:w="62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Строки амортизації</w:t>
            </w:r>
            <w:r/>
          </w:p>
        </w:tc>
        <w:tc>
          <w:tcPr>
            <w:shd w:val="clear" w:color="auto" w:fill="auto"/>
            <w:tcW w:w="81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модернізації</w:t>
            </w:r>
            <w:r/>
          </w:p>
        </w:tc>
      </w:tr>
      <w:tr>
        <w:trPr>
          <w:tblHeader/>
        </w:trPr>
        <w:tc>
          <w:tcPr>
            <w:shd w:val="clear" w:color="auto" w:fill="auto"/>
            <w:tcW w:w="237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/>
          </w:p>
        </w:tc>
        <w:tc>
          <w:tcPr>
            <w:shd w:val="clear" w:color="auto" w:fill="auto"/>
            <w:tcW w:w="907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/>
          </w:p>
        </w:tc>
        <w:tc>
          <w:tcPr>
            <w:shd w:val="clear" w:color="auto" w:fill="auto"/>
            <w:tcW w:w="344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/>
          </w:p>
        </w:tc>
        <w:tc>
          <w:tcPr>
            <w:shd w:val="clear" w:color="auto" w:fill="auto"/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460" w:leader="none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проект</w:t>
            </w:r>
            <w:r/>
          </w:p>
        </w:tc>
        <w:tc>
          <w:tcPr>
            <w:shd w:val="clear" w:color="auto" w:fill="auto"/>
            <w:tcW w:w="40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факт</w:t>
            </w:r>
            <w:r/>
          </w:p>
        </w:tc>
        <w:tc>
          <w:tcPr>
            <w:tcW w:w="421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/>
          </w:p>
        </w:tc>
        <w:tc>
          <w:tcPr>
            <w:tcW w:w="837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/>
          </w:p>
        </w:tc>
        <w:tc>
          <w:tcPr>
            <w:shd w:val="clear" w:color="auto" w:fill="auto"/>
            <w:tcW w:w="628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/>
          </w:p>
        </w:tc>
        <w:tc>
          <w:tcPr>
            <w:shd w:val="clear" w:color="auto" w:fill="auto"/>
            <w:tcW w:w="81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/>
          </w:p>
        </w:tc>
      </w:tr>
      <w:tr>
        <w:trPr/>
        <w:tc>
          <w:tcPr>
            <w:shd w:val="clear" w:color="auto" w:fill="auto"/>
            <w:tcW w:w="23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</w:t>
            </w:r>
            <w:r/>
          </w:p>
        </w:tc>
        <w:tc>
          <w:tcPr>
            <w:shd w:val="clear" w:color="auto" w:fill="auto"/>
            <w:tcW w:w="907" w:type="pc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Зерносушарка Mayer-2400S</w:t>
            </w:r>
            <w:r/>
          </w:p>
        </w:tc>
        <w:tc>
          <w:tcPr>
            <w:shd w:val="clear" w:color="auto" w:fill="auto"/>
            <w:tcW w:w="344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</w:t>
            </w:r>
            <w:r/>
          </w:p>
        </w:tc>
        <w:tc>
          <w:tcPr>
            <w:shd w:val="clear" w:color="auto" w:fill="auto"/>
            <w:tcW w:w="413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25 т/год.</w:t>
            </w:r>
            <w:r/>
          </w:p>
        </w:tc>
        <w:tc>
          <w:tcPr>
            <w:shd w:val="clear" w:color="auto" w:fill="auto"/>
            <w:tcW w:w="404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25 т/год.</w:t>
            </w:r>
            <w:r/>
          </w:p>
        </w:tc>
        <w:tc>
          <w:tcPr>
            <w:tcW w:w="42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3600</w:t>
            </w:r>
            <w:r/>
          </w:p>
        </w:tc>
        <w:tc>
          <w:tcPr>
            <w:tcW w:w="83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періодичний</w:t>
            </w:r>
            <w:r/>
          </w:p>
        </w:tc>
        <w:tc>
          <w:tcPr>
            <w:shd w:val="clear" w:color="auto" w:fill="auto"/>
            <w:tcW w:w="6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 років</w:t>
            </w:r>
            <w:r/>
          </w:p>
        </w:tc>
        <w:tc>
          <w:tcPr>
            <w:shd w:val="clear" w:color="auto" w:fill="auto"/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проводилася</w:t>
            </w:r>
            <w:r/>
          </w:p>
        </w:tc>
      </w:tr>
      <w:tr>
        <w:trPr/>
        <w:tc>
          <w:tcPr>
            <w:shd w:val="clear" w:color="auto" w:fill="auto"/>
            <w:tcW w:w="23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</w:t>
            </w:r>
            <w:r/>
          </w:p>
        </w:tc>
        <w:tc>
          <w:tcPr>
            <w:shd w:val="clear" w:color="auto" w:fill="auto"/>
            <w:tcW w:w="907" w:type="pc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Сепаратор БСХ-100</w:t>
            </w:r>
            <w:r/>
          </w:p>
        </w:tc>
        <w:tc>
          <w:tcPr>
            <w:shd w:val="clear" w:color="auto" w:fill="auto"/>
            <w:tcW w:w="344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</w:t>
            </w:r>
            <w:r/>
          </w:p>
        </w:tc>
        <w:tc>
          <w:tcPr>
            <w:shd w:val="clear" w:color="auto" w:fill="auto"/>
            <w:tcW w:w="413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80 т/год.</w:t>
            </w:r>
            <w:r/>
          </w:p>
        </w:tc>
        <w:tc>
          <w:tcPr>
            <w:shd w:val="clear" w:color="auto" w:fill="auto"/>
            <w:tcW w:w="404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80 т/год.</w:t>
            </w:r>
            <w:r/>
          </w:p>
        </w:tc>
        <w:tc>
          <w:tcPr>
            <w:tcW w:w="42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1440</w:t>
            </w:r>
            <w:r/>
          </w:p>
        </w:tc>
        <w:tc>
          <w:tcPr>
            <w:tcW w:w="83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періодичний</w:t>
            </w:r>
            <w:r/>
          </w:p>
        </w:tc>
        <w:tc>
          <w:tcPr>
            <w:shd w:val="clear" w:color="auto" w:fill="auto"/>
            <w:tcW w:w="6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 років</w:t>
            </w:r>
            <w:r/>
          </w:p>
        </w:tc>
        <w:tc>
          <w:tcPr>
            <w:shd w:val="clear" w:color="auto" w:fill="auto"/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проводилася</w:t>
            </w:r>
            <w:r/>
          </w:p>
        </w:tc>
      </w:tr>
      <w:tr>
        <w:trPr/>
        <w:tc>
          <w:tcPr>
            <w:shd w:val="clear" w:color="auto" w:fill="auto"/>
            <w:tcW w:w="23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</w:t>
            </w:r>
            <w:r/>
          </w:p>
        </w:tc>
        <w:tc>
          <w:tcPr>
            <w:shd w:val="clear" w:color="auto" w:fill="auto"/>
            <w:tcW w:w="907" w:type="pc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Сепаратор БСХ-200</w:t>
            </w:r>
            <w:r/>
          </w:p>
        </w:tc>
        <w:tc>
          <w:tcPr>
            <w:shd w:val="clear" w:color="auto" w:fill="auto"/>
            <w:tcW w:w="344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</w:t>
            </w:r>
            <w:r/>
          </w:p>
        </w:tc>
        <w:tc>
          <w:tcPr>
            <w:shd w:val="clear" w:color="auto" w:fill="auto"/>
            <w:tcW w:w="413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200 т/год.</w:t>
            </w:r>
            <w:r/>
          </w:p>
        </w:tc>
        <w:tc>
          <w:tcPr>
            <w:shd w:val="clear" w:color="auto" w:fill="auto"/>
            <w:tcW w:w="404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200 т/год.</w:t>
            </w:r>
            <w:r/>
          </w:p>
        </w:tc>
        <w:tc>
          <w:tcPr>
            <w:tcW w:w="42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2880</w:t>
            </w:r>
            <w:r/>
          </w:p>
        </w:tc>
        <w:tc>
          <w:tcPr>
            <w:tcW w:w="83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періодичний</w:t>
            </w:r>
            <w:r/>
          </w:p>
        </w:tc>
        <w:tc>
          <w:tcPr>
            <w:shd w:val="clear" w:color="auto" w:fill="auto"/>
            <w:tcW w:w="6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 років</w:t>
            </w:r>
            <w:r/>
          </w:p>
        </w:tc>
        <w:tc>
          <w:tcPr>
            <w:shd w:val="clear" w:color="auto" w:fill="auto"/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проводилася</w:t>
            </w:r>
            <w:r/>
          </w:p>
        </w:tc>
      </w:tr>
      <w:tr>
        <w:trPr/>
        <w:tc>
          <w:tcPr>
            <w:shd w:val="clear" w:color="auto" w:fill="auto"/>
            <w:tcW w:w="23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</w:t>
            </w:r>
            <w:r/>
          </w:p>
        </w:tc>
        <w:tc>
          <w:tcPr>
            <w:shd w:val="clear" w:color="auto" w:fill="auto"/>
            <w:tcW w:w="907" w:type="pc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Сепаратор БСХ-300</w:t>
            </w:r>
            <w:r/>
          </w:p>
        </w:tc>
        <w:tc>
          <w:tcPr>
            <w:shd w:val="clear" w:color="auto" w:fill="auto"/>
            <w:tcW w:w="344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</w:t>
            </w:r>
            <w:r/>
          </w:p>
        </w:tc>
        <w:tc>
          <w:tcPr>
            <w:shd w:val="clear" w:color="auto" w:fill="auto"/>
            <w:tcW w:w="413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300 т/год.</w:t>
            </w:r>
            <w:r/>
          </w:p>
        </w:tc>
        <w:tc>
          <w:tcPr>
            <w:shd w:val="clear" w:color="auto" w:fill="auto"/>
            <w:tcW w:w="404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300 т/год.</w:t>
            </w:r>
            <w:r/>
          </w:p>
        </w:tc>
        <w:tc>
          <w:tcPr>
            <w:tcW w:w="42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2880</w:t>
            </w:r>
            <w:r/>
          </w:p>
        </w:tc>
        <w:tc>
          <w:tcPr>
            <w:tcW w:w="83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періодичний</w:t>
            </w:r>
            <w:r/>
          </w:p>
        </w:tc>
        <w:tc>
          <w:tcPr>
            <w:shd w:val="clear" w:color="auto" w:fill="auto"/>
            <w:tcW w:w="6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 років</w:t>
            </w:r>
            <w:r/>
          </w:p>
        </w:tc>
        <w:tc>
          <w:tcPr>
            <w:shd w:val="clear" w:color="auto" w:fill="auto"/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проводилася</w:t>
            </w:r>
            <w:r/>
          </w:p>
        </w:tc>
      </w:tr>
      <w:tr>
        <w:trPr/>
        <w:tc>
          <w:tcPr>
            <w:shd w:val="clear" w:color="auto" w:fill="auto"/>
            <w:tcW w:w="23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</w:t>
            </w:r>
            <w:r/>
          </w:p>
        </w:tc>
        <w:tc>
          <w:tcPr>
            <w:shd w:val="clear" w:color="auto" w:fill="auto"/>
            <w:tcW w:w="907" w:type="pc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Котел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Vesuvi</w:t>
            </w:r>
            <w:r/>
          </w:p>
        </w:tc>
        <w:tc>
          <w:tcPr>
            <w:shd w:val="clear" w:color="auto" w:fill="auto"/>
            <w:tcW w:w="344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</w:t>
            </w:r>
            <w:r/>
          </w:p>
        </w:tc>
        <w:tc>
          <w:tcPr>
            <w:shd w:val="clear" w:color="auto" w:fill="auto"/>
            <w:tcW w:w="413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 кВт</w:t>
            </w:r>
            <w:r/>
          </w:p>
        </w:tc>
        <w:tc>
          <w:tcPr>
            <w:shd w:val="clear" w:color="auto" w:fill="auto"/>
            <w:tcW w:w="404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8 кВт</w:t>
            </w:r>
            <w:r/>
          </w:p>
        </w:tc>
        <w:tc>
          <w:tcPr>
            <w:tcW w:w="42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4320</w:t>
            </w:r>
            <w:r/>
          </w:p>
        </w:tc>
        <w:tc>
          <w:tcPr>
            <w:tcW w:w="83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сезонний</w:t>
            </w:r>
            <w:r/>
          </w:p>
        </w:tc>
        <w:tc>
          <w:tcPr>
            <w:shd w:val="clear" w:color="auto" w:fill="auto"/>
            <w:tcW w:w="6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 років</w:t>
            </w:r>
            <w:r/>
          </w:p>
        </w:tc>
        <w:tc>
          <w:tcPr>
            <w:shd w:val="clear" w:color="auto" w:fill="auto"/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проводилася</w:t>
            </w:r>
            <w:r/>
          </w:p>
        </w:tc>
      </w:tr>
      <w:tr>
        <w:trPr/>
        <w:tc>
          <w:tcPr>
            <w:shd w:val="clear" w:color="auto" w:fill="auto"/>
            <w:tcW w:w="23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</w:t>
            </w:r>
            <w:r/>
          </w:p>
        </w:tc>
        <w:tc>
          <w:tcPr>
            <w:shd w:val="clear" w:color="auto" w:fill="auto"/>
            <w:tcW w:w="907" w:type="pc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Котел Ретра-3М</w:t>
            </w:r>
            <w:r/>
          </w:p>
        </w:tc>
        <w:tc>
          <w:tcPr>
            <w:shd w:val="clear" w:color="auto" w:fill="auto"/>
            <w:tcW w:w="344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</w:t>
            </w:r>
            <w:r/>
          </w:p>
        </w:tc>
        <w:tc>
          <w:tcPr>
            <w:shd w:val="clear" w:color="auto" w:fill="auto"/>
            <w:tcW w:w="413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50 кВт</w:t>
            </w:r>
            <w:r/>
          </w:p>
        </w:tc>
        <w:tc>
          <w:tcPr>
            <w:shd w:val="clear" w:color="auto" w:fill="auto"/>
            <w:tcW w:w="404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42,5 кВт</w:t>
            </w:r>
            <w:r/>
          </w:p>
        </w:tc>
        <w:tc>
          <w:tcPr>
            <w:tcW w:w="42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4320</w:t>
            </w:r>
            <w:r/>
          </w:p>
        </w:tc>
        <w:tc>
          <w:tcPr>
            <w:tcW w:w="83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сезонний</w:t>
            </w:r>
            <w:r/>
          </w:p>
        </w:tc>
        <w:tc>
          <w:tcPr>
            <w:shd w:val="clear" w:color="auto" w:fill="auto"/>
            <w:tcW w:w="6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 років</w:t>
            </w:r>
            <w:r/>
          </w:p>
        </w:tc>
        <w:tc>
          <w:tcPr>
            <w:shd w:val="clear" w:color="auto" w:fill="auto"/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проводилася</w:t>
            </w:r>
            <w:r/>
          </w:p>
        </w:tc>
      </w:tr>
      <w:tr>
        <w:trPr/>
        <w:tc>
          <w:tcPr>
            <w:shd w:val="clear" w:color="auto" w:fill="auto"/>
            <w:tcW w:w="23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</w:t>
            </w:r>
            <w:r/>
          </w:p>
        </w:tc>
        <w:tc>
          <w:tcPr>
            <w:shd w:val="clear" w:color="auto" w:fill="auto"/>
            <w:tcW w:w="907" w:type="pc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Дизельгенера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-тор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Aksa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AD330</w:t>
            </w:r>
            <w:r/>
          </w:p>
        </w:tc>
        <w:tc>
          <w:tcPr>
            <w:shd w:val="clear" w:color="auto" w:fill="auto"/>
            <w:tcW w:w="344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</w:t>
            </w:r>
            <w:r/>
          </w:p>
        </w:tc>
        <w:tc>
          <w:tcPr>
            <w:shd w:val="clear" w:color="auto" w:fill="auto"/>
            <w:tcW w:w="413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300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кВА</w:t>
            </w:r>
            <w:r/>
          </w:p>
        </w:tc>
        <w:tc>
          <w:tcPr>
            <w:shd w:val="clear" w:color="auto" w:fill="auto"/>
            <w:tcW w:w="404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300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кВА</w:t>
            </w:r>
            <w:r/>
          </w:p>
        </w:tc>
        <w:tc>
          <w:tcPr>
            <w:tcW w:w="42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1440</w:t>
            </w:r>
            <w:r/>
          </w:p>
        </w:tc>
        <w:tc>
          <w:tcPr>
            <w:tcW w:w="83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періодичний</w:t>
            </w:r>
            <w:r/>
          </w:p>
        </w:tc>
        <w:tc>
          <w:tcPr>
            <w:shd w:val="clear" w:color="auto" w:fill="auto"/>
            <w:tcW w:w="6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 років</w:t>
            </w:r>
            <w:r/>
          </w:p>
        </w:tc>
        <w:tc>
          <w:tcPr>
            <w:shd w:val="clear" w:color="auto" w:fill="auto"/>
            <w:tcW w:w="81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проводилася</w:t>
            </w:r>
            <w:r/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 xml:space="preserve">Відомості щодо виду та обсягів викидів забруднюючих речовин в атмосферне повітря стаціонарними джерелами.</w:t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Таблиця 13.2. Відомості щодо виду та обсягів викидів забруднюючих речовин в атмосферне повітря стаціонарними джерелами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3"/>
        <w:gridCol w:w="1051"/>
        <w:gridCol w:w="2623"/>
        <w:gridCol w:w="1616"/>
        <w:gridCol w:w="1763"/>
        <w:gridCol w:w="1691"/>
      </w:tblGrid>
      <w:tr>
        <w:trPr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№ з/п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Забруднююча речовина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Фактичний обсяг викидів (т/рік)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Потенційний обсяг викидів (т/рік)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Порогові значення потенційних викидів для взяття на державний облік (т/рік)</w:t>
            </w:r>
            <w:r/>
          </w:p>
        </w:tc>
      </w:tr>
      <w:tr>
        <w:trPr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код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найменування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</w:tr>
      <w:tr>
        <w:trPr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6</w:t>
            </w:r>
            <w:r/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Усього для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обʼєкта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 / промислового майданчика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40,900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40,900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</w:tr>
      <w:tr>
        <w:trPr/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Перелік найбільш поширених забруднюючих речовин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03000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Речовини у вигляді суспендованих твердих частинок (мікрочастинки та волокна)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36,962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36,962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3,0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04001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Оксиди азоту (у перерахунку на діоксид азоту [NO+NO2]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2,825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2,825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1,0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05001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Сірки діоксид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1,5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06000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Оксид вуглецю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0,799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0,799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1,5</w:t>
            </w:r>
            <w:r/>
          </w:p>
        </w:tc>
      </w:tr>
      <w:tr>
        <w:trPr>
          <w:trHeight w:val="168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Усього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40,786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40,786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</w:tr>
      <w:tr>
        <w:trPr/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27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Перелік небезпечних забруднюючих речовин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01003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Залізо та його сполуки (у перерахунку на залізо)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0,00021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0,00021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0,1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01104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Манган та його сполуки (у перерахунку на діоксид мангану)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0,000022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0,000022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0,005</w:t>
            </w:r>
            <w:r/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Усього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0,000232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0,000232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</w:tr>
      <w:tr>
        <w:trPr/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Перелік інших забруднюючих речовин, які викидаються в атмосферне повітря стаціонарними джерелами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обʼєкта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/ промислового майданчика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11000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Неметанові леткі органічні сполуки (НМЛОС)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1,5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12000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Метан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Кремнію діоксид аморфний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0,000062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0,000062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Титану діоксид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0,000017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0,000017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Усього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0,104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0,104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</w:tr>
      <w:tr>
        <w:trPr/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27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Перелік забруднюючих речовин, для яких не встановлені гігієнічні регламенти допустимого вмісту хімічних і біологічних речовин в атмосферному повітрі населених міст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04002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Азоту (1) оксид [N2O]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07000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Вуглецю діоксид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2319,749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2319,749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500</w:t>
            </w:r>
            <w:r/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Усього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2319,759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2319,7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59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  <w:sectPr>
          <w:footnotePr/>
          <w:endnotePr/>
          <w:type w:val="nextPage"/>
          <w:pgSz w:w="11906" w:h="16838" w:orient="portrait"/>
          <w:pgMar w:top="851" w:right="851" w:bottom="851" w:left="1418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Таблиця 13.3. Характеристика установок очистки газу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1"/>
        <w:gridCol w:w="709"/>
        <w:gridCol w:w="862"/>
        <w:gridCol w:w="1689"/>
        <w:gridCol w:w="931"/>
        <w:gridCol w:w="1087"/>
        <w:gridCol w:w="1357"/>
        <w:gridCol w:w="1404"/>
        <w:gridCol w:w="920"/>
        <w:gridCol w:w="1357"/>
        <w:gridCol w:w="1404"/>
        <w:gridCol w:w="920"/>
        <w:gridCol w:w="1073"/>
      </w:tblGrid>
      <w:tr>
        <w:trPr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№ джерела викиду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btLr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Найменування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br/>
              <w:t xml:space="preserve">ГОУ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Забруднюючі речовини, за якими проводиться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газоочистка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1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Ступень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очищен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-ня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Назва та тип установки очистки газу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 вході ГОУ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 виході з ГОУ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Ступінь очищення газу, %</w:t>
            </w:r>
            <w:r/>
          </w:p>
        </w:tc>
      </w:tr>
      <w:tr>
        <w:trPr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CAS №/ CAS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найменування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7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обʼємна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витрата газопилового потоку,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/с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масова концентрація,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масова витрата, г/с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7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обʼємна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витрата газопилового потоку,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масова концентрація,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масова витрата, г/с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  <w:r/>
          </w:p>
        </w:tc>
      </w:tr>
      <w:tr>
        <w:trPr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14</w:t>
            </w:r>
            <w:r/>
          </w:p>
        </w:tc>
      </w:tr>
      <w:tr>
        <w:trPr>
          <w:trHeight w:val="1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Циклон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03000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Речовини у вигляді суспендованих твердих частинок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недиферен-ційованих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складом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ЦОЛ-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2,117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851,94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1,80356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2,086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57,08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0,11907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93,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</w:t>
            </w:r>
            <w:r/>
          </w:p>
        </w:tc>
      </w:tr>
      <w:tr>
        <w:trPr>
          <w:cantSplit/>
          <w:trHeight w:val="1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Циклон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03000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Речовини у вигляді суспендованих твердих частинок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недиферен-ційованих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складом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ББЦ-500 (2 од.)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1,779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1110,40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1,9754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1,770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55,52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0,09827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95</w:t>
            </w:r>
            <w:r/>
          </w:p>
        </w:tc>
      </w:tr>
      <w:tr>
        <w:trPr>
          <w:cantSplit/>
          <w:trHeight w:val="1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113" w:right="-113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Циклон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03000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uk-UA"/>
              </w:rPr>
              <w:t xml:space="preserve">Речовини у вигляді суспендованих твердих частинок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uk-UA"/>
              </w:rPr>
              <w:t xml:space="preserve">недиферен-ційованих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uk-UA"/>
              </w:rPr>
              <w:t xml:space="preserve"> за складом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ЦОЛ-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1,319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788,51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1,04004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1,288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58,35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0,07515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3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92,6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  <w:sectPr>
          <w:footnotePr/>
          <w:endnotePr/>
          <w:type w:val="nextPage"/>
          <w:pgSz w:w="16838" w:h="11906" w:orient="landscape"/>
          <w:pgMar w:top="1418" w:right="851" w:bottom="851" w:left="85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Таблиця 13.4. Дані потенційних обсягів викидів забруднюючих речовин в атмосферне повітря стаціонарними джерелами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обʼєкта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/ промислового майданчика</w:t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1652"/>
        <w:gridCol w:w="4576"/>
        <w:gridCol w:w="3117"/>
      </w:tblGrid>
      <w:tr>
        <w:trPr/>
        <w:tc>
          <w:tcPr>
            <w:gridSpan w:val="2"/>
            <w:tcW w:w="6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Забруднююча речовина</w:t>
            </w:r>
            <w:r/>
          </w:p>
        </w:tc>
        <w:tc>
          <w:tcPr>
            <w:tcW w:w="32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Потенційний викид забруднюючої речовини,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тонн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з трьома десятковими знаками</w:t>
            </w:r>
            <w:r/>
          </w:p>
        </w:tc>
      </w:tr>
      <w:tr>
        <w:trPr/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код</w:t>
            </w:r>
            <w:r/>
          </w:p>
        </w:tc>
        <w:tc>
          <w:tcPr>
            <w:tcW w:w="47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</w:t>
            </w:r>
            <w:r/>
          </w:p>
        </w:tc>
        <w:tc>
          <w:tcPr>
            <w:tcW w:w="32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  <w:r/>
          </w:p>
        </w:tc>
      </w:tr>
      <w:tr>
        <w:trPr/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</w:t>
            </w:r>
            <w:r/>
          </w:p>
        </w:tc>
        <w:tc>
          <w:tcPr>
            <w:tcW w:w="47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</w:t>
            </w:r>
            <w:r/>
          </w:p>
        </w:tc>
        <w:tc>
          <w:tcPr>
            <w:tcW w:w="32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</w:t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00000</w:t>
            </w:r>
            <w:r/>
          </w:p>
        </w:tc>
        <w:tc>
          <w:tcPr>
            <w:tcW w:w="4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Усього для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обʼєкта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/ промислового майданчика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40,900</w:t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01003</w:t>
            </w:r>
            <w:r/>
          </w:p>
        </w:tc>
        <w:tc>
          <w:tcPr>
            <w:tcW w:w="4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Залізо та його сполуки (у перерахунку на залізо)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</w:t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01104</w:t>
            </w:r>
            <w:r/>
          </w:p>
        </w:tc>
        <w:tc>
          <w:tcPr>
            <w:tcW w:w="4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Манган та його сполуки (у перерахунку на діоксид мангану)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</w:t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03000</w:t>
            </w:r>
            <w:r/>
          </w:p>
        </w:tc>
        <w:tc>
          <w:tcPr>
            <w:tcW w:w="4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Речовини у вигляді суспендованих твердих частинок (мікрочастинки та волокна)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36,962</w:t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04001</w:t>
            </w:r>
            <w:r/>
          </w:p>
        </w:tc>
        <w:tc>
          <w:tcPr>
            <w:tcW w:w="4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Оксиди азоту (у перерахунку на діоксид азоту [NO+NO2]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2,825</w:t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04002</w:t>
            </w:r>
            <w:r/>
          </w:p>
        </w:tc>
        <w:tc>
          <w:tcPr>
            <w:tcW w:w="4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Азоту (1) оксид [N2O]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0,010</w:t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05001</w:t>
            </w:r>
            <w:r/>
          </w:p>
        </w:tc>
        <w:tc>
          <w:tcPr>
            <w:tcW w:w="4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Сірки діоксид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0,2</w:t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06000</w:t>
            </w:r>
            <w:r/>
          </w:p>
        </w:tc>
        <w:tc>
          <w:tcPr>
            <w:tcW w:w="4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Оксид вуглецю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0,799</w:t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11000</w:t>
            </w:r>
            <w:r/>
          </w:p>
        </w:tc>
        <w:tc>
          <w:tcPr>
            <w:tcW w:w="4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Неметанові леткі органічні сполуки (НМЛОС)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</w:t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12000</w:t>
            </w:r>
            <w:r/>
          </w:p>
        </w:tc>
        <w:tc>
          <w:tcPr>
            <w:tcW w:w="4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Метан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0,048</w:t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07000</w:t>
            </w:r>
            <w:r/>
          </w:p>
        </w:tc>
        <w:tc>
          <w:tcPr>
            <w:tcW w:w="4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Вуглецю діоксид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2319,749</w:t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tcW w:w="4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Кремнію діоксид аморфний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</w:t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tcW w:w="4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Титану діоксид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Таблиця 13.5. Дані щодо потенційних обсягів викидів забруднюючих речовин від виробничих і технологічних процесів, технологічного устаткування (установок)</w:t>
      </w:r>
      <w:r/>
    </w:p>
    <w:tbl>
      <w:tblPr>
        <w:tblStyle w:val="66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77"/>
        <w:gridCol w:w="3137"/>
        <w:gridCol w:w="1428"/>
        <w:gridCol w:w="3113"/>
      </w:tblGrid>
      <w:tr>
        <w:trPr/>
        <w:tc>
          <w:tcPr>
            <w:gridSpan w:val="2"/>
            <w:tcBorders>
              <w:bottom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Процеси спалювання в малих установках</w:t>
            </w:r>
            <w:r/>
          </w:p>
        </w:tc>
        <w:tc>
          <w:tcPr>
            <w:tcW w:w="146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код</w:t>
            </w:r>
            <w:r/>
          </w:p>
        </w:tc>
        <w:tc>
          <w:tcPr>
            <w:tcBorders>
              <w:bottom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003</w:t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Забруднююча речовина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Потенційний викид забруднюючої речовини,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тонн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з трьома десятковими знаками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код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00000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Усього за виробничим та технологічним процесом, технологічним устаткуванням (установкою)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0,912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03000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Речовини у вигляді суспендованих твердих частинок (мікрочастинки та волокна)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0,197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04001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Оксиди азоту (у перерахунку на діоксид азоту [NO+NO2]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0,325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04002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Азоту (1) оксид [N2O]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05001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Сірки діоксид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0,200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06000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Оксид вуглецю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0,123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11000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Неметанові леткі органічні сполуки (НМЛОС)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0,056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12000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Метан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0,008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07000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Вуглецю діоксид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102,109</w:t>
            </w:r>
            <w:r/>
          </w:p>
        </w:tc>
      </w:tr>
      <w:tr>
        <w:trPr/>
        <w:tc>
          <w:tcPr>
            <w:gridSpan w:val="2"/>
            <w:tcBorders>
              <w:bottom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Зберігання, оброблення та транспортування металопродукції</w:t>
            </w:r>
            <w:r/>
          </w:p>
        </w:tc>
        <w:tc>
          <w:tcPr>
            <w:tcW w:w="146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код</w:t>
            </w:r>
            <w:r/>
          </w:p>
        </w:tc>
        <w:tc>
          <w:tcPr>
            <w:tcBorders>
              <w:bottom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030</w:t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Забруднююча речовина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Потенційний викид забруднюючої речовини,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тонн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з трьома десятковими знаками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код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00000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Усього за виробничим та технологічним процесом, технологічним устаткуванням (установкою)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0,007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03000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Речовини у вигляді суспендованих твердих частинок (мікрочастинки та волокна)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0,007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01003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Залізо та його сполуки (у перерахунку на залізо)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01104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Манган та його сполуки (у перерахунку на діоксид мангану)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Кремнію діоксид аморфний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Титану діоксид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0,000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</w:r>
      <w:r/>
    </w:p>
    <w:tbl>
      <w:tblPr>
        <w:tblStyle w:val="66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74"/>
        <w:gridCol w:w="3138"/>
        <w:gridCol w:w="1429"/>
        <w:gridCol w:w="3114"/>
      </w:tblGrid>
      <w:tr>
        <w:trPr/>
        <w:tc>
          <w:tcPr>
            <w:gridSpan w:val="2"/>
            <w:tcBorders>
              <w:bottom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Інші стаціонарні джерела</w:t>
            </w:r>
            <w:r/>
          </w:p>
        </w:tc>
        <w:tc>
          <w:tcPr>
            <w:tcW w:w="146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код</w:t>
            </w:r>
            <w:r/>
          </w:p>
        </w:tc>
        <w:tc>
          <w:tcPr>
            <w:tcBorders>
              <w:bottom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060</w:t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Забруднююча речовина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Потенційний викид забруднюючої речовини,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тонн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з трьома десятковими знаками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код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00000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Усього за виробничим та технологічним процесом, технологічним устаткуванням (установкою)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39,978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03000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Речовини у вигляді суспендованих твердих частинок (мікрочастинки та волокна)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36,758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04001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Оксиди азоту (у перерахунку на діоксид азоту [NO+NO2]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2,500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04002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Азоту (1) оксид [N2O]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0,004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06000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Оксид вуглецю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0,676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12000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Метан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0,040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07000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Вуглецю діоксид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2217,640</w:t>
            </w:r>
            <w:r/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 xml:space="preserve">Заходи щодо впровадження найкращих існуючих технологій виробництва.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Оскільки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обʼєкт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відноситься до другої групи, інформація заходи не плануються відповідно до вимог Інструкції.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Перелік заходів щодо скорочення викидів забруднюючих речовин.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Заходи щодо досягнення встановлених нормативів гранично-допустимих викидів для найбільш поширених і небезпечних забруднюючих речовин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не встановлюються у зв’язку з тим, що на підприємстві викиди найбільш поширених та небезпечних забруднюючих речовин не перевищують встановлених нормативів граничнодопустимих викидів. 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Заходи щодо запобігання перевищенню встановлених нормативів граничнодопустимих викидів у процесі виробництва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Дотримуватися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техрегламенту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Не допускати утворення нових джерел викидів забруднюючих речовин в атмосферне повітря без попередньої розробки та погодження відповідної дозвільної документації.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Заходи щодо обмеження обсягів залпових викидів забруднюючих речовин в атмосферне повітря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Залпові джерела відсутні на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обʼєкті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Заходи щодо остаточного припинення діяльності, пов’язаної з викидами забруднюючих речовин в атмосферне повітря, та приведення місця діяльності в задовільний стан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Заходи не встановлюються. Вся територія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обʼєкта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знаходиться в задовільному стані.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Заходи щодо охорони атмосферного повітря на випадок виникнення надзвичайних ситуацій техногенного та природного характеру, ліквідації наслідків забруднення атмосферного повітря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Перелік заходів щодо охорони атмосферного повітря на випадок виникнення надзвичайних ситуацій техногенного та природного характеру, ліквідації наслідків забруднення атмосферного повітря розробляється для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обʼєктів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які згідно з законодавством уважаються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обʼєктами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підвищеної небезпеки (включені до Державного реєстру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обʼєктів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підвищеної небезпеки).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Обʼєкт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не включено до Державного реєстру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обʼєктів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підвищеної небезпеки.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Заходи щодо регулювання при несприятливих метеорологічних умовах (НМУ)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відповідно до вимог методичних вказівок «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Регулирование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выбросов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неблагоприятных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метеорологических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условиях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» (РД 52.04.52-85) не розроблялися, тому що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обʼєкт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розташовано в населеному пункті, в якому Державною гідрометеорологічною службою України не проводиться та не планується прогнозування несприятливих метеорологічних умов.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Заходи, направлені на скорочення викидів забруднюючих речовин в атмосферне повітря, в залежності від виробництв, технологічного устаткування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обʼєкті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не передбачаються.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 xml:space="preserve">Дотримання виконання природоохоронних заходів щодо скорочення викидів.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Заходи не плануються.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 xml:space="preserve">Відповідність пропозицій щодо дозволених обсягів викидів забруднюючих речовин в атмосферне повітря стаціонарними джерелами законодавству.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Оцінка впливу викидів забруднюючих речовин на стан забруднення атмосферного повітря здійснюється за результатами розрахунків розсіювання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забруднюючих речовин в атмосферному повітрі та даними, що одержані при проведені інструментальних методів досліджень акредитованими лабораторіями в установленому законодавством порядку.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Гігієнічним критерієм для визначення граничнодопустимих викидів забруднюючих речовин в атмосферу є відповідність їх розрахункових концентрацій на межі СЗЗ гігієнічним регламентам.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Автоматизо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вані розрахунки забруднення атмосфери виконані по програмі «ЕОЛ 2000 [h]» (Windows версія). Розрахункові модулі програми реалізують «Методику розрахунку концентрацій в атмосферному повітрі забруднюючих речовин, що втримуються у викидах підприємств» ОНД-86.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проведених розрахунків та лабораторних вимірювань концентрації забруднюючих речовин не перевищують затверджених гігієнічних регламентів.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Пропозиції щодо дозволених обсягів викидів забруднюючих речовин, які віднесені до основних джерел викидів:</w:t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Таблиця 13.6. Пропозиції щодо дозволених обсягів викидів забруднюючих речовин, які віднесені до основних джерел викидів</w:t>
      </w:r>
      <w:r/>
    </w:p>
    <w:tbl>
      <w:tblPr>
        <w:tblStyle w:val="668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2268"/>
        <w:gridCol w:w="993"/>
        <w:gridCol w:w="1043"/>
        <w:gridCol w:w="1926"/>
      </w:tblGrid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2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Номер джерела викидів: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2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Місце розташування джерела викиду: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2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Максимальна витрата викиду, кубічних метрів на секунду: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2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Висота викиду, метрів:</w:t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33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забруднюючих речовин</w:t>
            </w:r>
            <w:r/>
          </w:p>
        </w:tc>
        <w:tc>
          <w:tcPr>
            <w:tcBorders>
              <w:top w:val="single" w:color="auto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Граничнодопустимий викид відповідно за законодавства, мг/м3</w:t>
            </w:r>
            <w:r/>
          </w:p>
        </w:tc>
        <w:tc>
          <w:tcPr>
            <w:gridSpan w:val="2"/>
            <w:tcBorders>
              <w:top w:val="single" w:color="auto" w:sz="4" w:space="0"/>
            </w:tcBorders>
            <w:tcW w:w="203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Затверджений гранично допустимий викид</w:t>
            </w:r>
            <w:r/>
          </w:p>
        </w:tc>
        <w:tc>
          <w:tcPr>
            <w:tcBorders>
              <w:top w:val="single" w:color="auto" w:sz="4" w:space="0"/>
            </w:tcBorders>
            <w:tcW w:w="19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Строк досягнення</w:t>
            </w:r>
            <w:r/>
          </w:p>
        </w:tc>
      </w:tr>
      <w:tr>
        <w:trPr/>
        <w:tc>
          <w:tcPr>
            <w:tcW w:w="339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  <w:r/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мг/м3</w:t>
            </w:r>
            <w:r/>
          </w:p>
        </w:tc>
        <w:tc>
          <w:tcPr>
            <w:tcW w:w="104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г/с</w:t>
            </w:r>
            <w:r/>
          </w:p>
        </w:tc>
        <w:tc>
          <w:tcPr>
            <w:tcW w:w="19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  <w:r/>
          </w:p>
        </w:tc>
      </w:tr>
      <w:tr>
        <w:trPr/>
        <w:tc>
          <w:tcPr>
            <w:tcW w:w="339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tcW w:w="104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tcW w:w="192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</w:tr>
      <w:tr>
        <w:trPr/>
        <w:tc>
          <w:tcPr>
            <w:gridSpan w:val="5"/>
            <w:tcW w:w="96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обʼєкті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відсутні джерела викидів, віднесені до основних</w:t>
            </w:r>
            <w:r/>
          </w:p>
        </w:tc>
      </w:tr>
      <w:tr>
        <w:trPr/>
        <w:tc>
          <w:tcPr>
            <w:tcW w:w="339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tcW w:w="104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  <w:tc>
          <w:tcPr>
            <w:tcW w:w="192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/>
          </w:p>
        </w:tc>
      </w:tr>
    </w:tbl>
    <w:p>
      <w:p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Таблиця 13.7 Пропозиції щодо дозволених обсягів викидів забруднюючих речовин, які віднесені до інших джерел викидів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Номери джерел викидів: №15 – вихлоп циклону ЦОЛ-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9</w:t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2538"/>
        <w:gridCol w:w="2272"/>
        <w:gridCol w:w="2264"/>
        <w:gridCol w:w="2271"/>
      </w:tblGrid>
      <w:tr>
        <w:trPr/>
        <w:tc>
          <w:tcPr>
            <w:tcW w:w="240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забруднюючої речовини</w:t>
            </w:r>
            <w:r/>
          </w:p>
        </w:tc>
        <w:tc>
          <w:tcPr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Гранично допустимий викид відповідно до законодавства,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Затверджений гранично допустимий викид,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Строк досягнення затвердженого значення</w:t>
            </w:r>
            <w:r/>
          </w:p>
        </w:tc>
      </w:tr>
      <w:tr>
        <w:trPr/>
        <w:tc>
          <w:tcPr>
            <w:tcW w:w="240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Речовини у вигляді суспендованих твердих частинок недиференційованих за складом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150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150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дати отримання дозволу</w:t>
            </w:r>
            <w:r/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Номери джерел викидів: №17 – скидна свічка зерносушарки №1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№18 – скидна свічка зерносушарки №2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№28 – скидна свічка зерносушарок №3 та №4</w:t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4"/>
        <w:gridCol w:w="2337"/>
      </w:tblGrid>
      <w:tr>
        <w:trPr/>
        <w:tc>
          <w:tcPr>
            <w:tcW w:w="240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забруднюючої речовини</w:t>
            </w:r>
            <w:r/>
          </w:p>
        </w:tc>
        <w:tc>
          <w:tcPr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Гранично допустимий викид відповідно до законодавства,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Затверджений гранично допустимий викид,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Строк досягнення затвердженого значення</w:t>
            </w:r>
            <w:r/>
          </w:p>
        </w:tc>
      </w:tr>
      <w:tr>
        <w:trPr/>
        <w:tc>
          <w:tcPr>
            <w:tcW w:w="240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Для речовин, на які не встановлені нормативи гранично допустимих викидів відповідно до законодавства, встановлюються такі величини масової витрати: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Метан – 0,208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333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г/с з дати отримання дозволу.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Номери джерел викидів: №29 – вихлоп циклону ББЦ-500</w:t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2538"/>
        <w:gridCol w:w="2272"/>
        <w:gridCol w:w="2264"/>
        <w:gridCol w:w="2271"/>
      </w:tblGrid>
      <w:tr>
        <w:trPr/>
        <w:tc>
          <w:tcPr>
            <w:tcW w:w="240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забруднюючої речовини</w:t>
            </w:r>
            <w:r/>
          </w:p>
        </w:tc>
        <w:tc>
          <w:tcPr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Гранично допустимий викид відповідно до законодавства,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Затверджений гранично допустимий викид,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Строк досягнення затвердженого значення</w:t>
            </w:r>
            <w:r/>
          </w:p>
        </w:tc>
      </w:tr>
      <w:tr>
        <w:trPr/>
        <w:tc>
          <w:tcPr>
            <w:tcW w:w="240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Речовини у вигляді суспендованих твердих частинок недиференційованих за складом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150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150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дати отримання дозволу</w:t>
            </w:r>
            <w:r/>
          </w:p>
        </w:tc>
      </w:tr>
    </w:tbl>
    <w:p>
      <w:pPr>
        <w:ind w:firstLine="720"/>
        <w:jc w:val="both"/>
        <w:spacing w:after="0" w:line="276" w:lineRule="auto"/>
        <w:tabs>
          <w:tab w:val="left" w:pos="2040" w:leader="none"/>
        </w:tabs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Номери джерел викидів: №37 – вихлоп циклону ЦОЛ-9</w:t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2538"/>
        <w:gridCol w:w="2272"/>
        <w:gridCol w:w="2264"/>
        <w:gridCol w:w="2271"/>
      </w:tblGrid>
      <w:tr>
        <w:trPr/>
        <w:tc>
          <w:tcPr>
            <w:tcW w:w="240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забруднюючої речовини</w:t>
            </w:r>
            <w:r/>
          </w:p>
        </w:tc>
        <w:tc>
          <w:tcPr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Гранично допустимий викид відповідно до законодавства,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Затверджений гранично допустимий викид,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Строк досягнення затвердженого значення</w:t>
            </w:r>
            <w:r/>
          </w:p>
        </w:tc>
      </w:tr>
      <w:tr>
        <w:trPr/>
        <w:tc>
          <w:tcPr>
            <w:tcW w:w="240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Речовини у вигляді суспендованих твердих частинок недиференційованих за складом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150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150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дати отримання дозволу</w:t>
            </w:r>
            <w:r/>
          </w:p>
        </w:tc>
      </w:tr>
    </w:tbl>
    <w:p>
      <w:pPr>
        <w:ind w:firstLine="720"/>
        <w:jc w:val="both"/>
        <w:spacing w:after="0" w:line="276" w:lineRule="auto"/>
        <w:tabs>
          <w:tab w:val="left" w:pos="2040" w:leader="none"/>
        </w:tabs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Номери джерел викидів: №44 – труба котлу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Ретра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3М </w:t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2538"/>
        <w:gridCol w:w="2272"/>
        <w:gridCol w:w="2264"/>
        <w:gridCol w:w="2271"/>
      </w:tblGrid>
      <w:tr>
        <w:trPr/>
        <w:tc>
          <w:tcPr>
            <w:tcW w:w="253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забруднюючої речовини</w:t>
            </w:r>
            <w:r/>
          </w:p>
        </w:tc>
        <w:tc>
          <w:tcPr>
            <w:tcW w:w="236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Гранично допустимий викид відповідно до законодавства,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Затверджений гранично допустимий викид,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36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Строк досягнення затвердженого значення</w:t>
            </w:r>
            <w:r/>
          </w:p>
        </w:tc>
      </w:tr>
      <w:tr>
        <w:trPr/>
        <w:tc>
          <w:tcPr>
            <w:tcW w:w="253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Речовини у вигляді суспендованих твердих частинок недиференційованих за складом</w:t>
            </w:r>
            <w:r/>
          </w:p>
        </w:tc>
        <w:tc>
          <w:tcPr>
            <w:tcW w:w="236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150</w:t>
            </w:r>
            <w:r/>
          </w:p>
        </w:tc>
        <w:tc>
          <w:tcPr>
            <w:tcW w:w="236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150</w:t>
            </w:r>
            <w:r/>
          </w:p>
        </w:tc>
        <w:tc>
          <w:tcPr>
            <w:tcW w:w="236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дати отримання дозволу</w:t>
            </w:r>
            <w:r/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Для речовин, на які не встановлені нормативи гранично допустимих викидів відповідно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законодавства, встановлюються такі величини масової витрати (г/с):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Оксид вуглецю – 0,081510 з дати отримання дозволу.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Оксиди азоту (оксид та діоксид азоту) у перерахунку на діоксид азоту – 0,002730 з дати отримання дозволу.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Діоксид сірки (діоксид та триоксид) у перерахунку на діоксид сірки – 0,001520 з дати отримання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дозволу</w:t>
      </w:r>
      <w:r/>
    </w:p>
    <w:p>
      <w:pPr>
        <w:ind w:firstLine="720"/>
        <w:jc w:val="both"/>
        <w:spacing w:after="0" w:line="276" w:lineRule="auto"/>
        <w:tabs>
          <w:tab w:val="left" w:pos="2040" w:leader="none"/>
        </w:tabs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Номери джерел викидів: №45 – труба приміщення топкової </w:t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2459"/>
        <w:gridCol w:w="2298"/>
        <w:gridCol w:w="2291"/>
        <w:gridCol w:w="2297"/>
      </w:tblGrid>
      <w:tr>
        <w:trPr/>
        <w:tc>
          <w:tcPr>
            <w:tcW w:w="253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забруднюючої речовини</w:t>
            </w:r>
            <w:r/>
          </w:p>
        </w:tc>
        <w:tc>
          <w:tcPr>
            <w:tcW w:w="236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Гранично допустимий викид відповідно до законодавства,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Затверджений гранично допустимий викид,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36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Строк досягнення затвердженого значення</w:t>
            </w:r>
            <w:r/>
          </w:p>
        </w:tc>
      </w:tr>
      <w:tr>
        <w:trPr/>
        <w:tc>
          <w:tcPr>
            <w:tcW w:w="253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tcW w:w="236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tcW w:w="236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tcW w:w="236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Для речовин, на які не встановлені нормативи гранично допустимих викидів відповідно до законодавства, встановлюються такі величини масової витрати (г/с):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Речовини у вигляді суспендованих твердих частинок недиференційованих за складом –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0,000151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дати отримання дозволу.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Оксид вуглецю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0,000087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дати отримання дозволу.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Оксиди азоту (оксид та діоксид азоту) у перерахунку на діоксид азоту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0,000072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дати отримання дозволу.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Діоксид сірки (діоксид та триоксид) у перерахунку на діоксид сірки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0,000174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дати отримання дозволу</w:t>
      </w:r>
      <w:r/>
    </w:p>
    <w:p>
      <w:pPr>
        <w:ind w:firstLine="720"/>
        <w:jc w:val="both"/>
        <w:spacing w:after="0" w:line="276" w:lineRule="auto"/>
        <w:tabs>
          <w:tab w:val="left" w:pos="2040" w:leader="none"/>
        </w:tabs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Номери джерел викидів: №50 – патрубок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дизельгенератору</w:t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2459"/>
        <w:gridCol w:w="2298"/>
        <w:gridCol w:w="2291"/>
        <w:gridCol w:w="2297"/>
      </w:tblGrid>
      <w:tr>
        <w:trPr/>
        <w:tc>
          <w:tcPr>
            <w:tcW w:w="253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забруднюючої речовини</w:t>
            </w:r>
            <w:r/>
          </w:p>
        </w:tc>
        <w:tc>
          <w:tcPr>
            <w:tcW w:w="236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Гранично допустимий викид відповідно до законодавства,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Затверджений гранично допустимий викид,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36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Строк досягнення затвердженого значення</w:t>
            </w:r>
            <w:r/>
          </w:p>
        </w:tc>
      </w:tr>
      <w:tr>
        <w:trPr/>
        <w:tc>
          <w:tcPr>
            <w:tcW w:w="253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tcW w:w="236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tcW w:w="236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tcW w:w="236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Для речовин, на які не встановлені нормативи гранично допустимих викидів відповідно до законодавства, встановлюються такі величини масової витрати (г/с):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Речовини у вигляді суспендованих твердих частинок недиференційованих за складом –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0,002193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дати отримання дозволу.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Оксид вуглецю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0,001706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дати отримання дозволу.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Оксиди азоту (оксид та діоксид азоту) у перерахунку на діоксид азоту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0,027534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дати отримання дозволу.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Діоксид сірки (діоксид та триоксид) у перерахунку на діоксид сірки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0,004142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дати отримання дозволу</w:t>
      </w:r>
      <w:r/>
    </w:p>
    <w:p>
      <w:pPr>
        <w:ind w:firstLine="720"/>
        <w:jc w:val="both"/>
        <w:spacing w:after="0" w:line="276" w:lineRule="auto"/>
        <w:tabs>
          <w:tab w:val="left" w:pos="2040" w:leader="none"/>
        </w:tabs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Номери джерел викидів: №5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 патрубок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дизельгенератору</w:t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2459"/>
        <w:gridCol w:w="2298"/>
        <w:gridCol w:w="2291"/>
        <w:gridCol w:w="2297"/>
      </w:tblGrid>
      <w:tr>
        <w:trPr/>
        <w:tc>
          <w:tcPr>
            <w:tcW w:w="253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забруднюючої речовини</w:t>
            </w:r>
            <w:r/>
          </w:p>
        </w:tc>
        <w:tc>
          <w:tcPr>
            <w:tcW w:w="236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Гранично допустимий викид відповідно до законодавства,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Затверджений гранично допустимий викид,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36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Строк досягнення затвердженого значення</w:t>
            </w:r>
            <w:r/>
          </w:p>
        </w:tc>
      </w:tr>
      <w:tr>
        <w:trPr/>
        <w:tc>
          <w:tcPr>
            <w:tcW w:w="253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tcW w:w="236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tcW w:w="236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  <w:tc>
          <w:tcPr>
            <w:tcW w:w="236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Для речовин, на які не встановлені нормативи гранично допустимих викидів відповідно до законодавства, встановлюються такі величини масової витрати (г/с):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Речовини у вигляді суспендованих твердих частинок недиференційованих за складом –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0,001736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дати отримання дозволу.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Оксид вуглецю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0,001350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дати отримання дозволу.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Оксиди азоту (оксид та діоксид азоту) у перерахунку на діоксид азоту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0,021798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дати отримання дозволу.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Діоксид сірки (діоксид та триоксид) у перерахунку на діоксид сірки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0,003279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дати отримання дозволу</w:t>
      </w:r>
      <w:r/>
    </w:p>
    <w:p>
      <w:pPr>
        <w:ind w:firstLine="720"/>
        <w:jc w:val="both"/>
        <w:spacing w:after="0" w:line="276" w:lineRule="auto"/>
        <w:tabs>
          <w:tab w:val="left" w:pos="2040" w:leader="none"/>
        </w:tabs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Номери джерел викидів: №52 – труба котлу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Vesuvi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2538"/>
        <w:gridCol w:w="2272"/>
        <w:gridCol w:w="2264"/>
        <w:gridCol w:w="2271"/>
      </w:tblGrid>
      <w:tr>
        <w:trPr/>
        <w:tc>
          <w:tcPr>
            <w:tcW w:w="253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забруднюючої речовини</w:t>
            </w:r>
            <w:r/>
          </w:p>
        </w:tc>
        <w:tc>
          <w:tcPr>
            <w:tcW w:w="236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Гранично допустимий викид відповідно до законодавства,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Затверджений гранично допустимий викид, мг/м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tcW w:w="236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Строк досягнення затвердженого значення</w:t>
            </w:r>
            <w:r/>
          </w:p>
        </w:tc>
      </w:tr>
      <w:tr>
        <w:trPr/>
        <w:tc>
          <w:tcPr>
            <w:tcW w:w="253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Речовини у вигляді суспендованих твердих частинок недиференційованих за складом</w:t>
            </w:r>
            <w:r/>
          </w:p>
        </w:tc>
        <w:tc>
          <w:tcPr>
            <w:tcW w:w="236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150</w:t>
            </w:r>
            <w:r/>
          </w:p>
        </w:tc>
        <w:tc>
          <w:tcPr>
            <w:tcW w:w="236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150</w:t>
            </w:r>
            <w:r/>
          </w:p>
        </w:tc>
        <w:tc>
          <w:tcPr>
            <w:tcW w:w="236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дати отримання дозволу</w:t>
            </w:r>
            <w:r/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Для речовин, на які не встановлені нормативи гранично допустимих викидів відповідно до законодавства, встановлюються такі величини масової витрати (г/с):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Оксид вуглецю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0,124160 з дати отримання дозволу.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Оксиди азоту (оксид та діоксид азоту) у перерахунку на діоксид азоту – 0,003790 з дати отримання дозволу.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Діоксид сірки (діоксид та триоксид) у перерахунку на діоксид сірки – 0,001800 з дати отримання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дозволу</w:t>
      </w:r>
      <w:r/>
    </w:p>
    <w:p>
      <w:pPr>
        <w:ind w:firstLine="720"/>
        <w:jc w:val="both"/>
        <w:spacing w:after="0" w:line="276" w:lineRule="auto"/>
        <w:tabs>
          <w:tab w:val="left" w:pos="2040" w:leader="none"/>
        </w:tabs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ind w:firstLine="720"/>
        <w:jc w:val="both"/>
        <w:spacing w:after="0" w:line="276" w:lineRule="auto"/>
        <w:tabs>
          <w:tab w:val="left" w:pos="2040" w:leader="none"/>
        </w:tabs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Для речовини </w:t>
      </w:r>
      <w:r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Неметанові леткі органічні сполуки (НМЛОС)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викиди яких не підлягають регулюванню та за якими не здійснюється державний облік, гранично допустимі викиди не встановлюються.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Джерела №№1-10, 12-14, 16, 19-27, 30-36, 38-43, 46,49 – неорганізовані. Для неорганізованих джерел викидів граничнодопустимі викиди не встановлюються відповідно до діючого законодавства. Регулювання цих джерел здійснюється шляхом встановлення вимог.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Cs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Пропозиції щодо умов, які встановлюються в дозволі на викиди до: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- викидів забруднюючих речовин (у тому числі, до технологічного процесу, обладнання та споруд, очистки газопилового потоку).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Суб’єкт господарювання (Оператор) повинен забезпечити, щоб всі роботи на об’єкті проводились таким чином, щоб викиди в атмосферне повітря не призводили до суттєвого впливу на навколишнє середовище.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Суб’єкт господарювання (Оператор) повинен забезпечити суворе дотримання технологічного процесу в частині, що пов’язана із можливим виділенням та надходженням забруднюючих речовин у атмосферне повітря. 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Суб’єкт господарювання (Оператор) повинен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здійснювати контроль за роботою контрольно-вимірювальних приладів систем управління технологічними процесами.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Сировина та матеріали, що використовуються у виробничих процесах, повинні відповідати технічним 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мовам (погодженим у встановленому законодавством порядку), державним стандартам та регламентам технологічних процесів та має висновки державної санітарно-епідеміологічної експертизи. Використовувати тільки ту сировину, що передбачена технічним регламентом.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Усі роботи на підприємстві повинні здійснюватися відповідно до затверджених технологічних регламентів та інструкцій з додержанням вимог природоохоронного законодавства України.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- дозволених обсягів викидів, що відводяться від окремих типів обладнання.</w:t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Таблиця 13.8. Пропозиції щодо дозволених обсягів викидів, що відводяться від окремих типів обладнання</w:t>
      </w:r>
      <w:r/>
    </w:p>
    <w:tbl>
      <w:tblPr>
        <w:tblStyle w:val="668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633"/>
        <w:gridCol w:w="618"/>
        <w:gridCol w:w="1843"/>
        <w:gridCol w:w="850"/>
        <w:gridCol w:w="1134"/>
        <w:gridCol w:w="1134"/>
        <w:gridCol w:w="830"/>
        <w:gridCol w:w="1289"/>
      </w:tblGrid>
      <w:tr>
        <w:trPr>
          <w:trHeight w:val="2402"/>
        </w:trPr>
        <w:tc>
          <w:tcPr>
            <w:gridSpan w:val="2"/>
            <w:tcW w:w="1929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Джерело утворення</w:t>
            </w:r>
            <w:r/>
          </w:p>
        </w:tc>
        <w:tc>
          <w:tcPr>
            <w:gridSpan w:val="2"/>
            <w:tcW w:w="246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Забруднююча речовина</w:t>
            </w:r>
            <w:r/>
          </w:p>
        </w:tc>
        <w:tc>
          <w:tcPr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Максимальна масова концентрація забруднюючої речовини, мг/м3</w:t>
            </w:r>
            <w:r/>
          </w:p>
        </w:tc>
        <w:tc>
          <w:tcPr>
            <w:gridSpan w:val="2"/>
            <w:tcW w:w="2268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Технологічний норматив викидів відповідно до законодавства, мг/м3</w:t>
            </w:r>
            <w:r/>
          </w:p>
        </w:tc>
        <w:tc>
          <w:tcPr>
            <w:tcW w:w="830" w:type="dxa"/>
            <w:vAlign w:val="center"/>
            <w:vMerge w:val="restart"/>
            <w:textDirection w:val="btLr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Затверджений гранично допустимий викид</w:t>
            </w:r>
            <w:r/>
          </w:p>
        </w:tc>
        <w:tc>
          <w:tcPr>
            <w:tcW w:w="1289" w:type="dxa"/>
            <w:vAlign w:val="center"/>
            <w:vMerge w:val="restart"/>
            <w:textDirection w:val="btLr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Строк досягнення затвердженого значення гранично допустимого викиду</w:t>
            </w:r>
            <w:r/>
          </w:p>
        </w:tc>
      </w:tr>
      <w:tr>
        <w:trPr/>
        <w:tc>
          <w:tcPr>
            <w:tcW w:w="129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найменуван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-ня, марка, вид палива</w:t>
            </w:r>
            <w:r/>
          </w:p>
        </w:tc>
        <w:tc>
          <w:tcPr>
            <w:tcW w:w="63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номер</w:t>
            </w:r>
            <w:r/>
          </w:p>
        </w:tc>
        <w:tc>
          <w:tcPr>
            <w:tcW w:w="618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код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найменування</w:t>
            </w:r>
            <w:r/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поточний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перспек-тивний</w:t>
            </w:r>
            <w:r/>
          </w:p>
        </w:tc>
        <w:tc>
          <w:tcPr>
            <w:tcW w:w="830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  <w:tc>
          <w:tcPr>
            <w:tcW w:w="1289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</w:tr>
      <w:tr>
        <w:trPr/>
        <w:tc>
          <w:tcPr>
            <w:tcW w:w="1296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</w:t>
            </w:r>
            <w:r/>
          </w:p>
        </w:tc>
        <w:tc>
          <w:tcPr>
            <w:tcW w:w="633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2</w:t>
            </w:r>
            <w:r/>
          </w:p>
        </w:tc>
        <w:tc>
          <w:tcPr>
            <w:tcW w:w="618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3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7</w:t>
            </w:r>
            <w:r/>
          </w:p>
        </w:tc>
        <w:tc>
          <w:tcPr>
            <w:tcW w:w="830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8</w:t>
            </w:r>
            <w:r/>
          </w:p>
        </w:tc>
        <w:tc>
          <w:tcPr>
            <w:tcW w:w="1289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9</w:t>
            </w:r>
            <w:r/>
          </w:p>
        </w:tc>
      </w:tr>
      <w:tr>
        <w:trPr/>
        <w:tc>
          <w:tcPr>
            <w:gridSpan w:val="9"/>
            <w:tcW w:w="96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Джерело №___</w:t>
            </w:r>
            <w:r/>
          </w:p>
        </w:tc>
      </w:tr>
      <w:tr>
        <w:trPr/>
        <w:tc>
          <w:tcPr>
            <w:gridSpan w:val="9"/>
            <w:tcW w:w="96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 xml:space="preserve">обʼєкті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 xml:space="preserve"> відсутні викиди, що відводяться від окремих типів обладнання. Умова не встановлена</w:t>
            </w:r>
            <w:r/>
          </w:p>
        </w:tc>
      </w:tr>
      <w:tr>
        <w:trPr/>
        <w:tc>
          <w:tcPr>
            <w:tcW w:w="129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63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61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83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28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- обладнання та споруд.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Суб’єкт господарювання (Оператор) повинен забезпечувати безперебійну ефективну роботу і підтримання у справному стані споруд, устаткування.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Технологічне устаткування, яке використовується на об’єкті, повинно відповідати проектній та технічній документації (заводських паспортів, інструкції з експлуатації і 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т.ін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.) відносно параметрів роботи технологічного устаткування.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Повинна бути забезпечена герметизація технологічного устаткування.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Технологічне устаткування не повинне працювати у форсованому режимі.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Контрольно-вимірювальні прилади технологічного устаткування повинні бути у працюючому стані.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Перед початком роботи перевірити герметичність резервуарів, арматури, трубопроводів, при виявленні протікання негайно вжити заходів до їх усунення 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Використовувати тільки технічно справне, заземлене обладнання, забезпечувати постійний контроль за його станом 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Суб’єкт господарювання (Оператор) повинен вести щоденний облік часу роботи стаціонарних джерел викидів забруднюючих речовин в атмосферу.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- очистки газопилового потоку.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Суб’єкт господарювання повинен забезпечити експлуатацію ГОУ згідно з наказом 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Мінприроди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України від 06.02.2009 №52 «Про затвердження Правил технічної експлуатації установок очистки газу»: ГОУ повинні працювати надійно, безперебійно і з показниками, що відповідають 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проєктним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Забороняється експлуатація технологічного устаткування, оснащеного газоочисними установками (ГОУ) без їх використання, з будь-яких причин (поломки, регламентні роботи з обслуговування та ремонту, заміна фільтрувальних елементів, тощо).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Ступінь очищення газоочисного устаткування, встановленого на підприємстві, повинна забезпечувати дотримання встановлених нормативів викидів забруднюючих речовин. 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Газоочисне обладнання повинно проходити щорічній лабораторно-інструментальний контроль ефективності роботи, а також в наступних випадках: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після реконструкції, капітального ремонту або довгострокової консервації;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при зміні технологічного режиму роботи технологічного устаткування;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при очевидному зниженні ефективності.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При перевірці ефективності роботи газоочисних установок повинні визначатися наступні параметри: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обсяги газоповітряної суміші на вході і на виході газоочисної установки;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величини масової витрати і концентрації забруднюючих речовин на вході і на виході газоочисної установки;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температура на вході і на виході газоочисної установки;</w:t>
      </w:r>
      <w:r/>
    </w:p>
    <w:p>
      <w:pPr>
        <w:pStyle w:val="664"/>
        <w:numPr>
          <w:ilvl w:val="0"/>
          <w:numId w:val="4"/>
        </w:numPr>
        <w:jc w:val="both"/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інші специфічні показники, характерні для певних типів газоочисного устаткування.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Всі виміряні показники повинні порівнюватися з 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проєктиними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даними і даними попередніх випробувань. На основі отриманих даних по випробовуванню 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газоочисної установки приймаються рішення щодо необхідності ремонту, вдосконалення або заміни на більш ефективну.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Необхідно систематично проводити обслуговування, технічні огляди та планові ремонти газоочисного устаткування.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Необхідно підтримувати в герметичному стані газоходи та їх мережі, які ведуть від джерел утворення забруднюючих речовин до газоочисних установок.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- виробничого контролю.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Виробничий контроль повинен здійснюватися відповідно до вимог Закону України «Про охорону атмосферного повітря».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Гранично допустимі викиди в атмосферне повітря в рамках дозволу повинні тлумачитися наступним чином: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  <w:t xml:space="preserve">Періодичний моніторинг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:</w:t>
      </w:r>
      <w:r/>
    </w:p>
    <w:p>
      <w:pPr>
        <w:pStyle w:val="664"/>
        <w:numPr>
          <w:ilvl w:val="0"/>
          <w:numId w:val="16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для будь-якого параметру, вимірювання якого в силу особливостей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пробовідбору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/аналізу за 20 хвилин неможливо, необхідно встановити відповідний період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пробовідбору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а отримані при таких вимірюваннях величини не повинні перевищувати дозволені обсяги викидів забруднюючих речовин;</w:t>
      </w:r>
      <w:r/>
    </w:p>
    <w:p>
      <w:pPr>
        <w:pStyle w:val="664"/>
        <w:numPr>
          <w:ilvl w:val="0"/>
          <w:numId w:val="16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вимірювань масової концентрації забруднюючої речовини, які характеризують вміст цієї забруднюючої речовини за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двадцятихвилинний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проміжок часу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 всьому вимірному перерізу газоходу, вважаються такими, що не перевищують значення відповідного нормативу граничнодопустимого викиду, якщо значення кожного результату вимірювання не перевищують значення встановленого нормативу граничнодопустимого викиду;</w:t>
      </w:r>
      <w:r/>
    </w:p>
    <w:p>
      <w:pPr>
        <w:pStyle w:val="664"/>
        <w:numPr>
          <w:ilvl w:val="0"/>
          <w:numId w:val="16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граничнодопустима інтенсивність викидів п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овинна розраховуватися на основі концентрацій як середня величина за певний період часу, помножена на величину відповідної масової витрати. Жоден з визначених таким чином показників не повинен перевищувати гранично допустиму величину інтенсивності викидів;</w:t>
      </w:r>
      <w:r/>
    </w:p>
    <w:p>
      <w:pPr>
        <w:pStyle w:val="664"/>
        <w:numPr>
          <w:ilvl w:val="0"/>
          <w:numId w:val="16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для всіх інших параметрів, жоден із середніх показників за 20 хвилин не повинен перевищувати гранично допустиму величину дозволених викидів.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Граничнодопустимі концентрації для викидів в атмосферне повітря, встановлені в Дозволі, повинні досягатися без розбавлення повітрям та повинні ґрунтуватися на величинах обсягу газів, призведених до наступних нормальних умов:</w:t>
      </w:r>
      <w:r/>
    </w:p>
    <w:p>
      <w:pPr>
        <w:pStyle w:val="664"/>
        <w:numPr>
          <w:ilvl w:val="0"/>
          <w:numId w:val="16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випадку газів: температура 273 К, тиск 101,3 кПа (без виправлень на вміст кисню та вологості);</w:t>
      </w:r>
      <w:r/>
    </w:p>
    <w:p>
      <w:pPr>
        <w:pStyle w:val="664"/>
        <w:numPr>
          <w:ilvl w:val="0"/>
          <w:numId w:val="16"/>
        </w:numPr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випадку газоподібних продуктів спалювання: температура: 273 К, тиск: 101,3 кПа, сухий газ; 3 % кисню для газоподібного та рідкого палива, 6% кисню для твердого палива.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Оператор повинен забезпечувати постійний та безпечний доступ до місць відбору проб для контролю викидів забруднюючих речовин в атмосферне повітря, а також безпечний доступ до будь-яких інших точок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пробовідбору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моніторингу.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Виробничий контроль за дотриманням затверджених нормативів граничнодопустимих викидів забруднюючих речовин повинен здійснюватися спеціалізованими організаціями, лабораторіями,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які мають відповідну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акредитацію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При визначенні р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озташування та обладнання місць відбору проб, виконанні відбору проб організованих промислових викидів стаціонарних джерел забруднення атмосферного повітря керуватись вимогами КНД 211.2.3.063-98 «Метрологічне забезпечення. Відбір проб промислових викидів».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концентрацій забруднюючих речовин проводити згідно «Переліку методик виконання вимірювань (визначень) складу та властивостей проб об’єктів довкілля, викидів, відходів і скидів, тимчасово допущених до використання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Мінприроди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України», затвердженого наказом Міністерства охорони навколишнього природного середовища України від 02.01.2008 та методикам атестованим в України за установлюваним порядком.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- переліку заходів щодо здійснення контролю за дотриманням встановлених технологічних нормативів викидів, що відводяться від окремого типу обладнання.</w:t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Таблиця 13.9. Перелік заходів щодо здійснення контролю за дотриманням встановлених технологічних нормативів викидів, що відводяться від окремого типу обладнання</w:t>
      </w:r>
      <w:r/>
    </w:p>
    <w:tbl>
      <w:tblPr>
        <w:tblStyle w:val="668"/>
        <w:tblW w:w="0" w:type="auto"/>
        <w:tblLayout w:type="fixed"/>
        <w:tblLook w:val="04A0" w:firstRow="1" w:lastRow="0" w:firstColumn="1" w:lastColumn="0" w:noHBand="0" w:noVBand="1"/>
      </w:tblPr>
      <w:tblGrid>
        <w:gridCol w:w="939"/>
        <w:gridCol w:w="1481"/>
        <w:gridCol w:w="766"/>
        <w:gridCol w:w="1450"/>
        <w:gridCol w:w="1426"/>
        <w:gridCol w:w="1445"/>
        <w:gridCol w:w="1231"/>
        <w:gridCol w:w="889"/>
      </w:tblGrid>
      <w:tr>
        <w:trPr/>
        <w:tc>
          <w:tcPr>
            <w:tcW w:w="939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Номер джерела викиду</w:t>
            </w:r>
            <w:r/>
          </w:p>
        </w:tc>
        <w:tc>
          <w:tcPr>
            <w:gridSpan w:val="2"/>
            <w:tcW w:w="2247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Джерело утворення</w:t>
            </w:r>
            <w:r/>
          </w:p>
        </w:tc>
        <w:tc>
          <w:tcPr>
            <w:tcW w:w="1450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Назва забруднюючої речовини</w:t>
            </w:r>
            <w:r/>
          </w:p>
        </w:tc>
        <w:tc>
          <w:tcPr>
            <w:tcW w:w="1426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Затверджений гранично допустимий викид, мг/м3</w:t>
            </w:r>
            <w:r/>
          </w:p>
        </w:tc>
        <w:tc>
          <w:tcPr>
            <w:tcW w:w="1445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Періодичність вимірювання</w:t>
            </w:r>
            <w:r/>
          </w:p>
        </w:tc>
        <w:tc>
          <w:tcPr>
            <w:tcW w:w="1231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Методика виконання вимірювань</w:t>
            </w:r>
            <w:r/>
          </w:p>
        </w:tc>
        <w:tc>
          <w:tcPr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Місце відбору проб</w:t>
            </w:r>
            <w:r/>
          </w:p>
        </w:tc>
      </w:tr>
      <w:tr>
        <w:trPr/>
        <w:tc>
          <w:tcPr>
            <w:tcW w:w="939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  <w:tc>
          <w:tcPr>
            <w:tcW w:w="148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найменування, марка, вид палива</w:t>
            </w:r>
            <w:r/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номер</w:t>
            </w:r>
            <w:r/>
          </w:p>
        </w:tc>
        <w:tc>
          <w:tcPr>
            <w:tcW w:w="145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  <w:tc>
          <w:tcPr>
            <w:tcW w:w="142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  <w:tc>
          <w:tcPr>
            <w:tcW w:w="1445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  <w:tc>
          <w:tcPr>
            <w:tcW w:w="1231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  <w:tc>
          <w:tcPr>
            <w:tcW w:w="889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</w:tr>
      <w:tr>
        <w:trPr/>
        <w:tc>
          <w:tcPr>
            <w:tcW w:w="939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</w:t>
            </w:r>
            <w:r/>
          </w:p>
        </w:tc>
        <w:tc>
          <w:tcPr>
            <w:tcW w:w="1481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2</w:t>
            </w:r>
            <w:r/>
          </w:p>
        </w:tc>
        <w:tc>
          <w:tcPr>
            <w:tcW w:w="766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3</w:t>
            </w:r>
            <w:r/>
          </w:p>
        </w:tc>
        <w:tc>
          <w:tcPr>
            <w:tcW w:w="1450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4</w:t>
            </w:r>
            <w:r/>
          </w:p>
        </w:tc>
        <w:tc>
          <w:tcPr>
            <w:tcW w:w="1426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5</w:t>
            </w:r>
            <w:r/>
          </w:p>
        </w:tc>
        <w:tc>
          <w:tcPr>
            <w:tcW w:w="1445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6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7</w:t>
            </w:r>
            <w:r/>
          </w:p>
        </w:tc>
        <w:tc>
          <w:tcPr>
            <w:tcW w:w="889" w:type="dxa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8</w:t>
            </w:r>
            <w:r/>
          </w:p>
        </w:tc>
      </w:tr>
      <w:tr>
        <w:trPr/>
        <w:tc>
          <w:tcPr>
            <w:tcW w:w="93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481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76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45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44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88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</w:tr>
      <w:tr>
        <w:trPr/>
        <w:tc>
          <w:tcPr>
            <w:gridSpan w:val="8"/>
            <w:tcW w:w="96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 xml:space="preserve">обʼєкті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 xml:space="preserve"> відсутні джерела, для яких встановлено технологічні нормативи. Умова не встановлена</w:t>
            </w:r>
            <w:r/>
          </w:p>
        </w:tc>
      </w:tr>
      <w:tr>
        <w:trPr/>
        <w:tc>
          <w:tcPr>
            <w:tcW w:w="93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481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76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45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44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88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</w:tr>
    </w:tbl>
    <w:p>
      <w:pPr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- дозволених обсягів залпових викидів (дозволений обсяг залпових не повинен перевищувати 3-х кратне значення гранично допустимого викиду відповідно до законодавства).</w:t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Таблиця 13.10. Дозволені обсяги залпових викидів</w:t>
      </w:r>
      <w:r/>
    </w:p>
    <w:tbl>
      <w:tblPr>
        <w:tblStyle w:val="668"/>
        <w:tblW w:w="0" w:type="auto"/>
        <w:tblLayout w:type="fixed"/>
        <w:tblLook w:val="04A0" w:firstRow="1" w:lastRow="0" w:firstColumn="1" w:lastColumn="0" w:noHBand="0" w:noVBand="1"/>
      </w:tblPr>
      <w:tblGrid>
        <w:gridCol w:w="1046"/>
        <w:gridCol w:w="935"/>
        <w:gridCol w:w="1788"/>
        <w:gridCol w:w="1188"/>
        <w:gridCol w:w="850"/>
        <w:gridCol w:w="892"/>
        <w:gridCol w:w="976"/>
        <w:gridCol w:w="976"/>
        <w:gridCol w:w="976"/>
      </w:tblGrid>
      <w:tr>
        <w:trPr/>
        <w:tc>
          <w:tcPr>
            <w:tcW w:w="1046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Номер джерела викиду</w:t>
            </w:r>
            <w:r/>
          </w:p>
        </w:tc>
        <w:tc>
          <w:tcPr>
            <w:gridSpan w:val="2"/>
            <w:tcW w:w="2723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Забруднююча речовина</w:t>
            </w:r>
            <w:r/>
          </w:p>
        </w:tc>
        <w:tc>
          <w:tcPr>
            <w:tcW w:w="1188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Макси-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мальна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масова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концент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-рація, мг/м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uk-UA"/>
              </w:rPr>
              <w:t xml:space="preserve">3</w:t>
            </w:r>
            <w:r/>
          </w:p>
        </w:tc>
        <w:tc>
          <w:tcPr>
            <w:gridSpan w:val="2"/>
            <w:tcW w:w="174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Потужність викиду</w:t>
            </w:r>
            <w:r/>
          </w:p>
        </w:tc>
        <w:tc>
          <w:tcPr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Періодич-ність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, раз/доба, місяць, рік</w:t>
            </w:r>
            <w:r/>
          </w:p>
        </w:tc>
        <w:tc>
          <w:tcPr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Трива-лість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викиду, хвилин, годин</w:t>
            </w:r>
            <w:r/>
          </w:p>
        </w:tc>
        <w:tc>
          <w:tcPr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Річна величина залпових викидів, т/рік</w:t>
            </w:r>
            <w:r/>
          </w:p>
        </w:tc>
      </w:tr>
      <w:tr>
        <w:trPr/>
        <w:tc>
          <w:tcPr>
            <w:tcW w:w="1046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  <w:tc>
          <w:tcPr>
            <w:tcW w:w="93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код</w:t>
            </w:r>
            <w:r/>
          </w:p>
        </w:tc>
        <w:tc>
          <w:tcPr>
            <w:tcW w:w="1788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найменування</w:t>
            </w:r>
            <w:r/>
          </w:p>
        </w:tc>
        <w:tc>
          <w:tcPr>
            <w:tcW w:w="1188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г/с</w:t>
            </w:r>
            <w:r/>
          </w:p>
        </w:tc>
        <w:tc>
          <w:tcPr>
            <w:tcW w:w="89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кг/год</w:t>
            </w:r>
            <w:r/>
          </w:p>
        </w:tc>
        <w:tc>
          <w:tcPr>
            <w:tcW w:w="976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  <w:tc>
          <w:tcPr>
            <w:tcW w:w="976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  <w:tc>
          <w:tcPr>
            <w:tcW w:w="976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r>
            <w:r/>
          </w:p>
        </w:tc>
      </w:tr>
      <w:tr>
        <w:trPr/>
        <w:tc>
          <w:tcPr>
            <w:tcW w:w="10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</w:t>
            </w:r>
            <w:r/>
          </w:p>
        </w:tc>
        <w:tc>
          <w:tcPr>
            <w:tcW w:w="93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2</w:t>
            </w:r>
            <w:r/>
          </w:p>
        </w:tc>
        <w:tc>
          <w:tcPr>
            <w:tcW w:w="178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3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5</w:t>
            </w:r>
            <w:r/>
          </w:p>
        </w:tc>
        <w:tc>
          <w:tcPr>
            <w:tcW w:w="8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6</w:t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7</w:t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8</w:t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9</w:t>
            </w:r>
            <w:r/>
          </w:p>
        </w:tc>
      </w:tr>
      <w:tr>
        <w:trPr/>
        <w:tc>
          <w:tcPr>
            <w:tcW w:w="104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78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89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</w:tr>
      <w:tr>
        <w:trPr/>
        <w:tc>
          <w:tcPr>
            <w:gridSpan w:val="9"/>
            <w:tcW w:w="96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 xml:space="preserve">обʼєкті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 xml:space="preserve"> відсутні залпові джерела. Умова не встановлена</w:t>
            </w:r>
            <w:r/>
          </w:p>
        </w:tc>
      </w:tr>
      <w:tr>
        <w:trPr/>
        <w:tc>
          <w:tcPr>
            <w:tcW w:w="104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93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78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89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r>
            <w:r/>
          </w:p>
        </w:tc>
      </w:tr>
    </w:tbl>
    <w:p>
      <w:pPr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- адміністративних дій у разі виникнення надзвичайних ситуацій техногенного та природного характеру (визначаються відомства, які повідомляються при відповідних ситуаціях).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Суб'єкт господарювання (Оператор) повинен надсилати повідомлення, як по телефону, так і електронною поштою до Департаменту як можливо скоріше, після того, як відбувається щось з наступного: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будь-який викид, який не відповідає вимогам Дозволу;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будь-яка аварія може створити загрозу забруднення повітря або може потребувати екстре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них заходів реагування. У повідомленні суб’єкт господарювання (Оператор) повинен вказати дату та час такої аварії, привести докладну інформацію про те, що сталося та заходи, прийняті для мінімізації викидів і для попередження подібних аварій в майбутньому.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Суб’єкт господарювання (Оператор) повинен док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ументально фіксувати будь-які аварії, що трапились на об'єкті. В повідомленні, яке надається Департаменту, повинна наводитися докладна інформація про обставини, які призвели до аварії та про всі прийняті дії для мінімізації впливу на навколишнє середовище.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Звіт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зафіксовані аварії за довільною формою повинен надаватися Департаменту, як складова частина звіту щодо виконання плану природоохоронних заходів за рік. Наведена у такому звіті інформація повинна готуватися у відповідності з затвердженими інструкціями.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uk-UA"/>
        </w:rPr>
        <w:t xml:space="preserve">- вимог до неорганізованих джерел викидів, спрямованих на попередження, мінімізацію, скорочення або припинення викидів забруднюючих речовин.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Джерела №№1-10, 12-14, 16, 19-27, 30-36, 38-43, 46,49 неорганізовані.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Оператор повинен забезпечити, щоб роботи на цьому джерелі робились таким чином, щоб викиди в атмосферу та/або запах не призводили до суттєвих незручностей за межами об’єкту або до суттєвого впливу на навколишнє середовище.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 всім неорганізованим джерелам викидів не повинно бути перевищено кількість та потужність використовуваного устаткування та технічних засобів.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Не повинно бути перевищено кількість використовуваної технологічної сировини, що призводить до утворення та викидів забруднюючих речовин в атмосферне повітря.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Суворо дотримуватись правил пожежної та техногенної безпеки, приймати превентивні заходи щодо попередження аварійних ситуацій, що можуть привести до забруднення навколишнього середовища.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Своєчасно проводити профілактичний, плановий та поточний ремонти технологічного обладнання для оптимізації технологічного процесу.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Технічний персонал повинен забезпечити виконання робіт на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обʼєкті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таким чином, щоб викиди в атмосферу та/або запах не призводили до суттєвих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незручностей за межами об’єкту або до суттєвого впливу на навколишнє середовище.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Технологічне обладнання, яке експлуатується на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обʼєкті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повинно бути в належному стані для мінімізації викидів забруднюючих речовин в атмосферне повітря.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Wingdings">
    <w:panose1 w:val="05010000000000000000"/>
  </w:font>
  <w:font w:name="Symbol">
    <w:panose1 w:val="05010000000000000000"/>
  </w:font>
  <w:font w:name="segoeui">
    <w:panose1 w:val="020B0603030804020204"/>
  </w:font>
  <w:font w:name="Calibri">
    <w:panose1 w:val="020F0502020204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71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129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Theme="minorEastAsia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lang w:val="uk-U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00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ascii="Courier New" w:hAnsi="Courier New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78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>
      <w:start w:val="1"/>
      <w:numFmt w:val="lowerLetter"/>
      <w:isLgl w:val="false"/>
      <w:suff w:val="tab"/>
      <w:lvlText w:val="%1."/>
      <w:lvlJc w:val="left"/>
      <w:pPr/>
      <w:rPr>
        <w:rFonts w:hint="default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2"/>
        <w:u w:val="none"/>
        <w:lang w:val="uk-U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9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"/>
  </w:num>
  <w:num w:numId="3">
    <w:abstractNumId w:val="14"/>
  </w:num>
  <w:num w:numId="4">
    <w:abstractNumId w:val="12"/>
  </w:num>
  <w:num w:numId="5">
    <w:abstractNumId w:val="24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27"/>
  </w:num>
  <w:num w:numId="11">
    <w:abstractNumId w:val="21"/>
  </w:num>
  <w:num w:numId="12">
    <w:abstractNumId w:val="22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8"/>
  </w:num>
  <w:num w:numId="15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8"/>
  </w:num>
  <w:num w:numId="18">
    <w:abstractNumId w:val="2"/>
  </w:num>
  <w:num w:numId="19">
    <w:abstractNumId w:val="3"/>
  </w:num>
  <w:num w:numId="20">
    <w:abstractNumId w:val="6"/>
  </w:num>
  <w:num w:numId="21">
    <w:abstractNumId w:val="29"/>
  </w:num>
  <w:num w:numId="22">
    <w:abstractNumId w:val="0"/>
  </w:num>
  <w:num w:numId="23">
    <w:abstractNumId w:val="30"/>
  </w:num>
  <w:num w:numId="24">
    <w:abstractNumId w:val="20"/>
  </w:num>
  <w:num w:numId="25">
    <w:abstractNumId w:val="26"/>
  </w:num>
  <w:num w:numId="26">
    <w:abstractNumId w:val="10"/>
  </w:num>
  <w:num w:numId="27">
    <w:abstractNumId w:val="23"/>
  </w:num>
  <w:num w:numId="28">
    <w:abstractNumId w:val="15"/>
  </w:num>
  <w:num w:numId="29">
    <w:abstractNumId w:val="19"/>
  </w:num>
  <w:num w:numId="30">
    <w:abstractNumId w:val="1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0"/>
    <w:next w:val="66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6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0"/>
    <w:next w:val="66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6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0"/>
    <w:next w:val="66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6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0"/>
    <w:next w:val="66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6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0"/>
    <w:next w:val="66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0"/>
    <w:next w:val="66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0"/>
    <w:next w:val="66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6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0"/>
    <w:next w:val="66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0"/>
    <w:next w:val="66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0"/>
    <w:next w:val="66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61"/>
    <w:link w:val="32"/>
    <w:uiPriority w:val="10"/>
    <w:rPr>
      <w:sz w:val="48"/>
      <w:szCs w:val="48"/>
    </w:rPr>
  </w:style>
  <w:style w:type="paragraph" w:styleId="34">
    <w:name w:val="Subtitle"/>
    <w:basedOn w:val="660"/>
    <w:next w:val="66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1"/>
    <w:link w:val="34"/>
    <w:uiPriority w:val="11"/>
    <w:rPr>
      <w:sz w:val="24"/>
      <w:szCs w:val="24"/>
    </w:rPr>
  </w:style>
  <w:style w:type="paragraph" w:styleId="36">
    <w:name w:val="Quote"/>
    <w:basedOn w:val="660"/>
    <w:next w:val="66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0"/>
    <w:next w:val="66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1"/>
    <w:link w:val="718"/>
    <w:uiPriority w:val="99"/>
  </w:style>
  <w:style w:type="character" w:styleId="43">
    <w:name w:val="Footer Char"/>
    <w:basedOn w:val="661"/>
    <w:link w:val="720"/>
    <w:uiPriority w:val="99"/>
  </w:style>
  <w:style w:type="paragraph" w:styleId="44">
    <w:name w:val="Caption"/>
    <w:basedOn w:val="660"/>
    <w:next w:val="6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20"/>
    <w:uiPriority w:val="99"/>
  </w:style>
  <w:style w:type="table" w:styleId="47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6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1"/>
    <w:uiPriority w:val="99"/>
    <w:unhideWhenUsed/>
    <w:rPr>
      <w:vertAlign w:val="superscript"/>
    </w:rPr>
  </w:style>
  <w:style w:type="paragraph" w:styleId="176">
    <w:name w:val="endnote text"/>
    <w:basedOn w:val="66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1"/>
    <w:uiPriority w:val="99"/>
    <w:semiHidden/>
    <w:unhideWhenUsed/>
    <w:rPr>
      <w:vertAlign w:val="superscript"/>
    </w:rPr>
  </w:style>
  <w:style w:type="paragraph" w:styleId="179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>
    <w:name w:val="List Paragraph"/>
    <w:basedOn w:val="660"/>
    <w:link w:val="687"/>
    <w:uiPriority w:val="34"/>
    <w:qFormat/>
    <w:pPr>
      <w:contextualSpacing/>
      <w:ind w:left="720"/>
    </w:pPr>
  </w:style>
  <w:style w:type="paragraph" w:styleId="665">
    <w:name w:val="Block Text"/>
    <w:basedOn w:val="660"/>
    <w:pPr>
      <w:ind w:left="1134" w:right="1460"/>
      <w:jc w:val="both"/>
      <w:spacing w:after="0" w:line="240" w:lineRule="auto"/>
    </w:pPr>
    <w:rPr>
      <w:rFonts w:ascii="Times New Roman" w:hAnsi="Times New Roman" w:cs="Times New Roman" w:eastAsia="Times New Roman"/>
      <w:b/>
      <w:sz w:val="24"/>
      <w:szCs w:val="20"/>
      <w:lang w:val="uk-UA"/>
    </w:rPr>
  </w:style>
  <w:style w:type="paragraph" w:styleId="666">
    <w:name w:val="Balloon Text"/>
    <w:basedOn w:val="660"/>
    <w:link w:val="6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7" w:customStyle="1">
    <w:name w:val="Текст выноски Знак"/>
    <w:basedOn w:val="661"/>
    <w:link w:val="666"/>
    <w:uiPriority w:val="99"/>
    <w:semiHidden/>
    <w:rPr>
      <w:rFonts w:ascii="Segoe UI" w:hAnsi="Segoe UI" w:cs="Segoe UI"/>
      <w:sz w:val="18"/>
      <w:szCs w:val="18"/>
    </w:rPr>
  </w:style>
  <w:style w:type="table" w:styleId="668">
    <w:name w:val="Table Grid"/>
    <w:basedOn w:val="6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9">
    <w:name w:val="Normal (Web)"/>
    <w:basedOn w:val="6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70" w:customStyle="1">
    <w:name w:val="Основной текст (2)_"/>
    <w:link w:val="671"/>
    <w:rPr>
      <w:shd w:val="clear" w:color="auto" w:fill="ffffff"/>
    </w:rPr>
  </w:style>
  <w:style w:type="paragraph" w:styleId="671" w:customStyle="1">
    <w:name w:val="Основной текст (2)1"/>
    <w:basedOn w:val="660"/>
    <w:link w:val="670"/>
    <w:pPr>
      <w:ind w:hanging="540"/>
      <w:jc w:val="both"/>
      <w:spacing w:after="0" w:line="264" w:lineRule="exact"/>
      <w:shd w:val="clear" w:color="auto" w:fill="ffffff"/>
      <w:widowControl w:val="off"/>
    </w:pPr>
    <w:rPr>
      <w:shd w:val="clear" w:color="auto" w:fill="ffffff"/>
    </w:rPr>
  </w:style>
  <w:style w:type="paragraph" w:styleId="672" w:customStyle="1">
    <w:name w:val="rvps2"/>
    <w:basedOn w:val="66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73" w:customStyle="1">
    <w:name w:val="Основной текст_"/>
    <w:link w:val="674"/>
    <w:rPr>
      <w:shd w:val="clear" w:color="auto" w:fill="ffffff"/>
    </w:rPr>
  </w:style>
  <w:style w:type="paragraph" w:styleId="674" w:customStyle="1">
    <w:name w:val="Основной текст1"/>
    <w:basedOn w:val="660"/>
    <w:link w:val="673"/>
    <w:pPr>
      <w:ind w:firstLine="600"/>
      <w:jc w:val="both"/>
      <w:spacing w:after="0" w:line="317" w:lineRule="exact"/>
      <w:shd w:val="clear" w:color="auto" w:fill="ffffff"/>
      <w:widowControl w:val="off"/>
    </w:pPr>
  </w:style>
  <w:style w:type="character" w:styleId="675" w:customStyle="1">
    <w:name w:val="apple-converted-space"/>
  </w:style>
  <w:style w:type="character" w:styleId="676">
    <w:name w:val="Hyperlink"/>
    <w:uiPriority w:val="99"/>
    <w:rPr>
      <w:color w:val="0000FF"/>
      <w:u w:val="single"/>
    </w:rPr>
  </w:style>
  <w:style w:type="paragraph" w:styleId="677" w:customStyle="1">
    <w:name w:val="activity-counter-item"/>
    <w:basedOn w:val="66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78" w:customStyle="1">
    <w:name w:val="activity-counter-item-text"/>
    <w:basedOn w:val="661"/>
  </w:style>
  <w:style w:type="character" w:styleId="679" w:customStyle="1">
    <w:name w:val="activity-counter-item-blue"/>
    <w:basedOn w:val="661"/>
  </w:style>
  <w:style w:type="character" w:styleId="680" w:customStyle="1">
    <w:name w:val="Основной текст + 10 pt"/>
    <w:rPr>
      <w:rFonts w:ascii="Times New Roman" w:hAnsi="Times New Roman" w:cs="Times New Roman" w:eastAsia="Times New Roman"/>
      <w:b w:val="0"/>
      <w:bCs w:val="0"/>
      <w:i w:val="0"/>
      <w:iCs w:val="0"/>
      <w:smallCaps w:val="0"/>
      <w:strike w:val="false"/>
      <w:color w:val="000000"/>
      <w:spacing w:val="0"/>
      <w:position w:val="0"/>
      <w:sz w:val="20"/>
      <w:szCs w:val="20"/>
      <w:u w:val="none"/>
      <w:shd w:val="clear" w:color="auto" w:fill="ffffff"/>
      <w:lang w:val="uk-UA"/>
    </w:rPr>
  </w:style>
  <w:style w:type="character" w:styleId="681" w:customStyle="1">
    <w:name w:val="Основной текст (4)"/>
    <w:rPr>
      <w:rFonts w:ascii="Times New Roman" w:hAnsi="Times New Roman" w:cs="Times New Roman" w:eastAsia="Times New Roman"/>
      <w:b w:val="0"/>
      <w:bCs w:val="0"/>
      <w:i/>
      <w:iCs/>
      <w:smallCaps w:val="0"/>
      <w:strike w:val="false"/>
      <w:color w:val="000000"/>
      <w:spacing w:val="0"/>
      <w:position w:val="0"/>
      <w:sz w:val="22"/>
      <w:szCs w:val="22"/>
      <w:u w:val="none"/>
      <w:lang w:val="uk-UA"/>
    </w:rPr>
  </w:style>
  <w:style w:type="character" w:styleId="682" w:customStyle="1">
    <w:name w:val="Основной текст + Курсив"/>
    <w:rPr>
      <w:rFonts w:ascii="Times New Roman" w:hAnsi="Times New Roman" w:cs="Times New Roman" w:eastAsia="Times New Roman"/>
      <w:b w:val="0"/>
      <w:bCs w:val="0"/>
      <w:i/>
      <w:iCs/>
      <w:smallCaps w:val="0"/>
      <w:strike w:val="false"/>
      <w:color w:val="000000"/>
      <w:spacing w:val="0"/>
      <w:position w:val="0"/>
      <w:sz w:val="22"/>
      <w:szCs w:val="22"/>
      <w:u w:val="none"/>
      <w:shd w:val="clear" w:color="auto" w:fill="ffffff"/>
      <w:lang w:val="uk-UA"/>
    </w:rPr>
  </w:style>
  <w:style w:type="character" w:styleId="683" w:customStyle="1">
    <w:name w:val="Основной текст + Полужирный;Курсив"/>
    <w:rPr>
      <w:rFonts w:ascii="Times New Roman" w:hAnsi="Times New Roman" w:cs="Times New Roman" w:eastAsia="Times New Roman"/>
      <w:b/>
      <w:bCs/>
      <w:i/>
      <w:iCs/>
      <w:smallCaps w:val="0"/>
      <w:strike w:val="false"/>
      <w:color w:val="000000"/>
      <w:spacing w:val="0"/>
      <w:position w:val="0"/>
      <w:sz w:val="22"/>
      <w:szCs w:val="22"/>
      <w:u w:val="none"/>
      <w:shd w:val="clear" w:color="auto" w:fill="ffffff"/>
      <w:lang w:val="uk-UA"/>
    </w:rPr>
  </w:style>
  <w:style w:type="character" w:styleId="684" w:customStyle="1">
    <w:name w:val="Основной текст + 4 pt"/>
    <w:rPr>
      <w:rFonts w:ascii="Times New Roman" w:hAnsi="Times New Roman" w:cs="Times New Roman" w:eastAsia="Times New Roman"/>
      <w:b w:val="0"/>
      <w:bCs w:val="0"/>
      <w:i w:val="0"/>
      <w:iCs w:val="0"/>
      <w:smallCaps w:val="0"/>
      <w:strike w:val="false"/>
      <w:color w:val="000000"/>
      <w:spacing w:val="0"/>
      <w:position w:val="0"/>
      <w:sz w:val="8"/>
      <w:szCs w:val="8"/>
      <w:u w:val="none"/>
      <w:shd w:val="clear" w:color="auto" w:fill="ffffff"/>
    </w:rPr>
  </w:style>
  <w:style w:type="paragraph" w:styleId="685" w:customStyle="1">
    <w:name w:val="Основной текст2"/>
    <w:basedOn w:val="660"/>
    <w:pPr>
      <w:ind w:hanging="880"/>
      <w:spacing w:after="0" w:line="0" w:lineRule="atLeast"/>
      <w:shd w:val="clear" w:color="auto" w:fill="ffffff"/>
      <w:widowControl w:val="off"/>
    </w:pPr>
    <w:rPr>
      <w:rFonts w:ascii="Times New Roman" w:hAnsi="Times New Roman" w:cs="Times New Roman" w:eastAsia="Times New Roman"/>
      <w:color w:val="000000"/>
      <w:lang w:val="uk-UA" w:eastAsia="ru-RU"/>
    </w:rPr>
  </w:style>
  <w:style w:type="paragraph" w:styleId="686" w:customStyle="1">
    <w:name w:val="Основной текст3"/>
    <w:basedOn w:val="660"/>
    <w:pPr>
      <w:ind w:hanging="720"/>
      <w:spacing w:before="60" w:after="60" w:line="0" w:lineRule="atLeast"/>
      <w:shd w:val="clear" w:color="auto" w:fill="ffffff"/>
      <w:widowControl w:val="off"/>
    </w:pPr>
    <w:rPr>
      <w:rFonts w:ascii="Times New Roman" w:hAnsi="Times New Roman" w:cs="Times New Roman" w:eastAsia="Times New Roman"/>
      <w:color w:val="000000"/>
      <w:sz w:val="25"/>
      <w:szCs w:val="25"/>
      <w:lang w:val="uk-UA" w:eastAsia="ru-RU"/>
    </w:rPr>
  </w:style>
  <w:style w:type="character" w:styleId="687" w:customStyle="1">
    <w:name w:val="Абзац списка Знак"/>
    <w:link w:val="664"/>
    <w:uiPriority w:val="34"/>
    <w:qFormat/>
  </w:style>
  <w:style w:type="paragraph" w:styleId="688" w:customStyle="1">
    <w:name w:val="WW-Основной текст 31"/>
    <w:basedOn w:val="660"/>
    <w:pPr>
      <w:jc w:val="both"/>
      <w:spacing w:after="0" w:line="240" w:lineRule="auto"/>
      <w:widowControl w:val="off"/>
    </w:pPr>
    <w:rPr>
      <w:rFonts w:ascii="Times New Roman" w:hAnsi="Times New Roman" w:cs="Times New Roman" w:eastAsia="Times New Roman"/>
      <w:sz w:val="28"/>
      <w:szCs w:val="20"/>
      <w:lang w:val="uk-UA" w:eastAsia="ru-RU"/>
    </w:rPr>
  </w:style>
  <w:style w:type="paragraph" w:styleId="689">
    <w:name w:val="HTML Preformatted"/>
    <w:basedOn w:val="660"/>
    <w:link w:val="690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 w:eastAsia="Times New Roman"/>
      <w:sz w:val="20"/>
      <w:szCs w:val="20"/>
      <w:lang w:eastAsia="ru-RU"/>
    </w:rPr>
  </w:style>
  <w:style w:type="character" w:styleId="690" w:customStyle="1">
    <w:name w:val="Стандартный HTML Знак"/>
    <w:basedOn w:val="661"/>
    <w:link w:val="689"/>
    <w:uiPriority w:val="99"/>
    <w:semiHidden/>
    <w:rPr>
      <w:rFonts w:ascii="Courier New" w:hAnsi="Courier New" w:cs="Courier New" w:eastAsia="Times New Roman"/>
      <w:sz w:val="20"/>
      <w:szCs w:val="20"/>
      <w:lang w:eastAsia="ru-RU"/>
    </w:rPr>
  </w:style>
  <w:style w:type="character" w:styleId="691" w:customStyle="1">
    <w:name w:val="y2iqfc"/>
    <w:basedOn w:val="661"/>
  </w:style>
  <w:style w:type="character" w:styleId="692">
    <w:name w:val="Placeholder Text"/>
    <w:basedOn w:val="661"/>
    <w:uiPriority w:val="99"/>
    <w:semiHidden/>
    <w:rPr>
      <w:color w:val="808080"/>
    </w:rPr>
  </w:style>
  <w:style w:type="character" w:styleId="693">
    <w:name w:val="annotation reference"/>
    <w:basedOn w:val="661"/>
    <w:uiPriority w:val="99"/>
    <w:semiHidden/>
    <w:unhideWhenUsed/>
    <w:rPr>
      <w:sz w:val="16"/>
      <w:szCs w:val="16"/>
    </w:rPr>
  </w:style>
  <w:style w:type="paragraph" w:styleId="694">
    <w:name w:val="annotation text"/>
    <w:basedOn w:val="660"/>
    <w:link w:val="695"/>
    <w:unhideWhenUsed/>
    <w:pPr>
      <w:spacing w:line="240" w:lineRule="auto"/>
    </w:pPr>
    <w:rPr>
      <w:sz w:val="20"/>
      <w:szCs w:val="20"/>
    </w:rPr>
  </w:style>
  <w:style w:type="character" w:styleId="695" w:customStyle="1">
    <w:name w:val="Текст примечания Знак"/>
    <w:basedOn w:val="661"/>
    <w:link w:val="694"/>
    <w:rPr>
      <w:sz w:val="20"/>
      <w:szCs w:val="20"/>
    </w:rPr>
  </w:style>
  <w:style w:type="paragraph" w:styleId="696">
    <w:name w:val="annotation subject"/>
    <w:basedOn w:val="694"/>
    <w:next w:val="694"/>
    <w:link w:val="697"/>
    <w:uiPriority w:val="99"/>
    <w:semiHidden/>
    <w:unhideWhenUsed/>
    <w:rPr>
      <w:b/>
      <w:bCs/>
    </w:rPr>
  </w:style>
  <w:style w:type="character" w:styleId="697" w:customStyle="1">
    <w:name w:val="Тема примечания Знак"/>
    <w:basedOn w:val="695"/>
    <w:link w:val="696"/>
    <w:uiPriority w:val="99"/>
    <w:semiHidden/>
    <w:rPr>
      <w:b/>
      <w:bCs/>
      <w:sz w:val="20"/>
      <w:szCs w:val="20"/>
    </w:rPr>
  </w:style>
  <w:style w:type="paragraph" w:styleId="698">
    <w:name w:val="Body Text Indent"/>
    <w:basedOn w:val="660"/>
    <w:link w:val="699"/>
    <w:pPr>
      <w:ind w:firstLine="567"/>
      <w:jc w:val="both"/>
      <w:spacing w:after="0" w:line="360" w:lineRule="auto"/>
      <w:widowControl w:val="off"/>
      <w:tabs>
        <w:tab w:val="left" w:pos="144" w:leader="none"/>
        <w:tab w:val="left" w:pos="576" w:leader="none"/>
      </w:tabs>
    </w:pPr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99" w:customStyle="1">
    <w:name w:val="Основной текст с отступом Знак"/>
    <w:basedOn w:val="661"/>
    <w:link w:val="698"/>
    <w:rPr>
      <w:rFonts w:ascii="Times New Roman" w:hAnsi="Times New Roman" w:cs="Times New Roman" w:eastAsia="Times New Roman"/>
      <w:sz w:val="28"/>
      <w:szCs w:val="20"/>
      <w:lang w:eastAsia="ru-RU"/>
    </w:rPr>
  </w:style>
  <w:style w:type="paragraph" w:styleId="700">
    <w:name w:val="Body Text 3"/>
    <w:basedOn w:val="660"/>
    <w:link w:val="701"/>
    <w:uiPriority w:val="99"/>
    <w:semiHidden/>
    <w:unhideWhenUsed/>
    <w:pPr>
      <w:spacing w:after="120" w:line="276" w:lineRule="auto"/>
    </w:pPr>
    <w:rPr>
      <w:rFonts w:ascii="Calibri" w:hAnsi="Calibri" w:cs="Times New Roman" w:eastAsia="Calibri"/>
      <w:sz w:val="16"/>
      <w:szCs w:val="16"/>
    </w:rPr>
  </w:style>
  <w:style w:type="character" w:styleId="701" w:customStyle="1">
    <w:name w:val="Основной текст 3 Знак"/>
    <w:basedOn w:val="661"/>
    <w:link w:val="700"/>
    <w:uiPriority w:val="99"/>
    <w:semiHidden/>
    <w:rPr>
      <w:rFonts w:ascii="Calibri" w:hAnsi="Calibri" w:cs="Times New Roman" w:eastAsia="Calibri"/>
      <w:sz w:val="16"/>
      <w:szCs w:val="16"/>
    </w:rPr>
  </w:style>
  <w:style w:type="paragraph" w:styleId="702">
    <w:name w:val="Body Text"/>
    <w:basedOn w:val="660"/>
    <w:link w:val="703"/>
    <w:unhideWhenUsed/>
    <w:pPr>
      <w:spacing w:after="120" w:line="276" w:lineRule="auto"/>
    </w:pPr>
    <w:rPr>
      <w:rFonts w:ascii="Calibri" w:hAnsi="Calibri" w:cs="Times New Roman" w:eastAsia="Calibri"/>
      <w:lang w:val="uk-UA"/>
    </w:rPr>
  </w:style>
  <w:style w:type="character" w:styleId="703" w:customStyle="1">
    <w:name w:val="Основной текст Знак"/>
    <w:basedOn w:val="661"/>
    <w:link w:val="702"/>
    <w:rPr>
      <w:rFonts w:ascii="Calibri" w:hAnsi="Calibri" w:cs="Times New Roman" w:eastAsia="Calibri"/>
      <w:lang w:val="uk-UA"/>
    </w:rPr>
  </w:style>
  <w:style w:type="paragraph" w:styleId="704">
    <w:name w:val="Body Text 2"/>
    <w:basedOn w:val="660"/>
    <w:link w:val="705"/>
    <w:uiPriority w:val="99"/>
    <w:semiHidden/>
    <w:unhideWhenUsed/>
    <w:pPr>
      <w:spacing w:after="120" w:line="480" w:lineRule="auto"/>
    </w:pPr>
    <w:rPr>
      <w:rFonts w:ascii="Calibri" w:hAnsi="Calibri" w:cs="Times New Roman" w:eastAsia="Calibri"/>
      <w:lang w:val="uk-UA"/>
    </w:rPr>
  </w:style>
  <w:style w:type="character" w:styleId="705" w:customStyle="1">
    <w:name w:val="Основной текст 2 Знак"/>
    <w:basedOn w:val="661"/>
    <w:link w:val="704"/>
    <w:uiPriority w:val="99"/>
    <w:semiHidden/>
    <w:rPr>
      <w:rFonts w:ascii="Calibri" w:hAnsi="Calibri" w:cs="Times New Roman" w:eastAsia="Calibri"/>
      <w:lang w:val="uk-UA"/>
    </w:rPr>
  </w:style>
  <w:style w:type="paragraph" w:styleId="706">
    <w:name w:val="Body Text Indent 3"/>
    <w:basedOn w:val="660"/>
    <w:link w:val="707"/>
    <w:uiPriority w:val="99"/>
    <w:semiHidden/>
    <w:unhideWhenUsed/>
    <w:pPr>
      <w:ind w:left="283"/>
      <w:spacing w:after="120" w:line="276" w:lineRule="auto"/>
    </w:pPr>
    <w:rPr>
      <w:rFonts w:ascii="Calibri" w:hAnsi="Calibri" w:cs="Times New Roman" w:eastAsia="Calibri"/>
      <w:sz w:val="16"/>
      <w:szCs w:val="16"/>
    </w:rPr>
  </w:style>
  <w:style w:type="character" w:styleId="707" w:customStyle="1">
    <w:name w:val="Основной текст с отступом 3 Знак"/>
    <w:basedOn w:val="661"/>
    <w:link w:val="706"/>
    <w:uiPriority w:val="99"/>
    <w:semiHidden/>
    <w:rPr>
      <w:rFonts w:ascii="Calibri" w:hAnsi="Calibri" w:cs="Times New Roman" w:eastAsia="Calibri"/>
      <w:sz w:val="16"/>
      <w:szCs w:val="16"/>
    </w:rPr>
  </w:style>
  <w:style w:type="paragraph" w:styleId="708">
    <w:name w:val="Plain Text"/>
    <w:basedOn w:val="660"/>
    <w:link w:val="709"/>
    <w:uiPriority w:val="99"/>
    <w:pPr>
      <w:spacing w:after="0" w:line="240" w:lineRule="auto"/>
    </w:pPr>
    <w:rPr>
      <w:rFonts w:ascii="Courier New" w:hAnsi="Courier New" w:cs="Times New Roman" w:eastAsia="Times New Roman"/>
      <w:sz w:val="20"/>
      <w:szCs w:val="20"/>
      <w:lang w:eastAsia="ru-RU"/>
    </w:rPr>
  </w:style>
  <w:style w:type="character" w:styleId="709" w:customStyle="1">
    <w:name w:val="Текст Знак"/>
    <w:basedOn w:val="661"/>
    <w:link w:val="708"/>
    <w:uiPriority w:val="99"/>
    <w:rPr>
      <w:rFonts w:ascii="Courier New" w:hAnsi="Courier New" w:cs="Times New Roman" w:eastAsia="Times New Roman"/>
      <w:sz w:val="20"/>
      <w:szCs w:val="20"/>
      <w:lang w:eastAsia="ru-RU"/>
    </w:rPr>
  </w:style>
  <w:style w:type="paragraph" w:styleId="710" w:customStyle="1">
    <w:name w:val="WW-Основной текст 2"/>
    <w:basedOn w:val="660"/>
    <w:pPr>
      <w:jc w:val="both"/>
      <w:spacing w:after="0" w:line="480" w:lineRule="atLeast"/>
      <w:widowControl w:val="off"/>
      <w:tabs>
        <w:tab w:val="left" w:pos="576" w:leader="none"/>
      </w:tabs>
    </w:pPr>
    <w:rPr>
      <w:rFonts w:ascii="Times New Roman" w:hAnsi="Times New Roman" w:cs="Times New Roman" w:eastAsia="Times New Roman"/>
      <w:position w:val="2"/>
      <w:sz w:val="24"/>
      <w:szCs w:val="20"/>
    </w:rPr>
  </w:style>
  <w:style w:type="paragraph" w:styleId="711">
    <w:name w:val="Body Text First Indent"/>
    <w:basedOn w:val="702"/>
    <w:link w:val="712"/>
    <w:uiPriority w:val="99"/>
    <w:semiHidden/>
    <w:unhideWhenUsed/>
    <w:pPr>
      <w:ind w:firstLine="360"/>
      <w:spacing w:after="200"/>
    </w:pPr>
  </w:style>
  <w:style w:type="character" w:styleId="712" w:customStyle="1">
    <w:name w:val="Красная строка Знак"/>
    <w:basedOn w:val="703"/>
    <w:link w:val="711"/>
    <w:uiPriority w:val="99"/>
    <w:semiHidden/>
    <w:rPr>
      <w:rFonts w:ascii="Calibri" w:hAnsi="Calibri" w:cs="Times New Roman" w:eastAsia="Calibri"/>
      <w:lang w:val="uk-UA"/>
    </w:rPr>
  </w:style>
  <w:style w:type="paragraph" w:styleId="713" w:customStyle="1">
    <w:name w:val="Equation"/>
    <w:basedOn w:val="660"/>
    <w:next w:val="660"/>
    <w:pPr>
      <w:ind w:left="284"/>
      <w:spacing w:after="120" w:line="240" w:lineRule="auto"/>
      <w:tabs>
        <w:tab w:val="left" w:pos="8902" w:leader="none"/>
      </w:tabs>
    </w:pPr>
    <w:rPr>
      <w:rFonts w:ascii="Times New Roman" w:hAnsi="Times New Roman" w:cs="Times New Roman" w:eastAsia="Times New Roman"/>
      <w:sz w:val="24"/>
      <w:szCs w:val="20"/>
      <w:lang w:val="uk-UA" w:eastAsia="ru-RU"/>
    </w:rPr>
  </w:style>
  <w:style w:type="paragraph" w:styleId="714" w:customStyle="1">
    <w:name w:val="Specification First"/>
    <w:basedOn w:val="660"/>
    <w:pPr>
      <w:ind w:left="1332" w:hanging="1332"/>
      <w:spacing w:after="0" w:line="360" w:lineRule="auto"/>
      <w:tabs>
        <w:tab w:val="left" w:pos="1134" w:leader="none"/>
      </w:tabs>
    </w:pPr>
    <w:rPr>
      <w:rFonts w:ascii="Times New Roman" w:hAnsi="Times New Roman" w:cs="Times New Roman" w:eastAsia="Times New Roman"/>
      <w:sz w:val="24"/>
      <w:szCs w:val="20"/>
      <w:lang w:val="uk-UA" w:eastAsia="ru-RU"/>
    </w:rPr>
  </w:style>
  <w:style w:type="paragraph" w:styleId="715" w:customStyle="1">
    <w:name w:val="Specification Next"/>
    <w:basedOn w:val="660"/>
    <w:pPr>
      <w:ind w:left="1333" w:hanging="1049"/>
      <w:spacing w:after="0" w:line="360" w:lineRule="auto"/>
      <w:tabs>
        <w:tab w:val="left" w:pos="1134" w:leader="none"/>
      </w:tabs>
    </w:pPr>
    <w:rPr>
      <w:rFonts w:ascii="Times New Roman" w:hAnsi="Times New Roman" w:cs="Times New Roman" w:eastAsia="Times New Roman"/>
      <w:sz w:val="24"/>
      <w:szCs w:val="20"/>
      <w:lang w:val="uk-UA" w:eastAsia="ru-RU"/>
    </w:rPr>
  </w:style>
  <w:style w:type="paragraph" w:styleId="716">
    <w:name w:val="List Bullet"/>
    <w:basedOn w:val="660"/>
    <w:uiPriority w:val="99"/>
    <w:unhideWhenUsed/>
    <w:pPr>
      <w:numPr>
        <w:numId w:val="22"/>
      </w:numPr>
      <w:contextualSpacing/>
      <w:spacing w:after="200" w:line="276" w:lineRule="auto"/>
    </w:pPr>
    <w:rPr>
      <w:rFonts w:ascii="Calibri" w:hAnsi="Calibri" w:cs="Times New Roman" w:eastAsia="Calibri"/>
      <w:lang w:val="uk-UA"/>
    </w:rPr>
  </w:style>
  <w:style w:type="paragraph" w:styleId="717" w:customStyle="1">
    <w:name w:val="Текст примечания1"/>
    <w:basedOn w:val="660"/>
    <w:pPr>
      <w:spacing w:after="0" w:line="240" w:lineRule="auto"/>
    </w:pPr>
    <w:rPr>
      <w:rFonts w:ascii="Times New Roman" w:hAnsi="Times New Roman" w:cs="Times New Roman" w:eastAsia="Times New Roman"/>
      <w:sz w:val="28"/>
      <w:szCs w:val="20"/>
      <w:lang w:eastAsia="zh-CN"/>
    </w:rPr>
  </w:style>
  <w:style w:type="paragraph" w:styleId="718">
    <w:name w:val="Header"/>
    <w:basedOn w:val="660"/>
    <w:link w:val="71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cs="Times New Roman" w:eastAsia="Calibri"/>
      <w:lang w:val="uk-UA"/>
    </w:rPr>
  </w:style>
  <w:style w:type="character" w:styleId="719" w:customStyle="1">
    <w:name w:val="Верхний колонтитул Знак"/>
    <w:basedOn w:val="661"/>
    <w:link w:val="718"/>
    <w:uiPriority w:val="99"/>
    <w:rPr>
      <w:rFonts w:ascii="Calibri" w:hAnsi="Calibri" w:cs="Times New Roman" w:eastAsia="Calibri"/>
      <w:lang w:val="uk-UA"/>
    </w:rPr>
  </w:style>
  <w:style w:type="paragraph" w:styleId="720">
    <w:name w:val="Footer"/>
    <w:basedOn w:val="660"/>
    <w:link w:val="7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cs="Times New Roman" w:eastAsia="Calibri"/>
      <w:lang w:val="uk-UA"/>
    </w:rPr>
  </w:style>
  <w:style w:type="character" w:styleId="721" w:customStyle="1">
    <w:name w:val="Нижний колонтитул Знак"/>
    <w:basedOn w:val="661"/>
    <w:link w:val="720"/>
    <w:uiPriority w:val="99"/>
    <w:rPr>
      <w:rFonts w:ascii="Calibri" w:hAnsi="Calibri" w:cs="Times New Roman" w:eastAsia="Calibri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Anonymous</cp:lastModifiedBy>
  <cp:revision>2</cp:revision>
  <dcterms:created xsi:type="dcterms:W3CDTF">2023-12-11T14:14:00Z</dcterms:created>
  <dcterms:modified xsi:type="dcterms:W3CDTF">2023-12-14T14:35:20Z</dcterms:modified>
</cp:coreProperties>
</file>